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208E5848" w:rsidR="00D23B99" w:rsidRPr="00D23B99" w:rsidRDefault="003468C8" w:rsidP="00DD03F0">
      <w:r>
        <w:rPr>
          <w:noProof/>
          <w:lang w:val="en-GB" w:eastAsia="en-GB"/>
        </w:rPr>
        <w:drawing>
          <wp:inline distT="0" distB="0" distL="0" distR="0" wp14:anchorId="10BA66A7" wp14:editId="6CCD71A9">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23987C55"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23987C55" w:rsidR="00D23B99" w:rsidRPr="00260E65" w:rsidRDefault="00D23B99">
                      <w:pPr>
                        <w:jc w:val="center"/>
                        <w:rPr>
                          <w:rFonts w:ascii="Arial" w:hAnsi="Arial" w:cs="Arial"/>
                          <w:b/>
                          <w:bCs/>
                          <w:sz w:val="48"/>
                        </w:rPr>
                      </w:pPr>
                    </w:p>
                  </w:txbxContent>
                </v:textbox>
                <w10:wrap anchorx="page" anchory="page"/>
              </v:shape>
            </w:pict>
          </mc:Fallback>
        </mc:AlternateContent>
      </w:r>
    </w:p>
    <w:p w14:paraId="0F1E5384" w14:textId="77777777" w:rsidR="003468C8" w:rsidRDefault="003468C8" w:rsidP="00DD03F0">
      <w:pPr>
        <w:rPr>
          <w:b/>
          <w:i/>
          <w:sz w:val="24"/>
          <w:szCs w:val="24"/>
        </w:rPr>
      </w:pPr>
    </w:p>
    <w:p w14:paraId="7030EC55" w14:textId="32FF81AB" w:rsidR="00663778" w:rsidRPr="003468C8" w:rsidRDefault="00DE326F" w:rsidP="00DD03F0">
      <w:pPr>
        <w:rPr>
          <w:i/>
          <w:sz w:val="24"/>
          <w:szCs w:val="24"/>
        </w:rPr>
      </w:pPr>
      <w:r w:rsidRPr="003468C8">
        <w:rPr>
          <w:i/>
          <w:sz w:val="24"/>
          <w:szCs w:val="24"/>
        </w:rPr>
        <w:t>De tekst van de onderstaande voorbeeldresolutie kan door geïnteresseerde gemeenten, steden of regio’s worden aangepast aan hun specifiek</w:t>
      </w:r>
      <w:r w:rsidR="004A221D" w:rsidRPr="003468C8">
        <w:rPr>
          <w:i/>
          <w:sz w:val="24"/>
          <w:szCs w:val="24"/>
        </w:rPr>
        <w:t>e lokale of regionale situatie.</w:t>
      </w:r>
    </w:p>
    <w:p w14:paraId="00000002" w14:textId="77D9BA96" w:rsidR="00245FCC" w:rsidRPr="00E8709B" w:rsidRDefault="00245FCC" w:rsidP="00DD03F0">
      <w:pPr>
        <w:rPr>
          <w:b/>
          <w:i/>
          <w:sz w:val="24"/>
          <w:szCs w:val="24"/>
        </w:rPr>
      </w:pPr>
    </w:p>
    <w:p w14:paraId="00000004" w14:textId="2503AEC9" w:rsidR="00245FCC" w:rsidRPr="00E8709B" w:rsidRDefault="007E6792" w:rsidP="00DD03F0">
      <w:pPr>
        <w:rPr>
          <w:b/>
          <w:sz w:val="24"/>
          <w:szCs w:val="24"/>
        </w:rPr>
      </w:pPr>
      <w:r>
        <w:rPr>
          <w:b/>
          <w:sz w:val="24"/>
          <w:szCs w:val="24"/>
        </w:rPr>
        <w:t>Voorbeeldresolutie van de gemeenteraad/het regiobestuur</w:t>
      </w:r>
      <w:r>
        <w:rPr>
          <w:b/>
          <w:sz w:val="24"/>
          <w:szCs w:val="24"/>
        </w:rPr>
        <w:br/>
        <w:t xml:space="preserve">waarbij ______________________ (naam van de stad/regio) wordt UITGEROEPEN TOT vrijheidszone voor </w:t>
      </w:r>
      <w:proofErr w:type="spellStart"/>
      <w:r>
        <w:rPr>
          <w:b/>
          <w:sz w:val="24"/>
          <w:szCs w:val="24"/>
        </w:rPr>
        <w:t>lhbtiq</w:t>
      </w:r>
      <w:proofErr w:type="spellEnd"/>
      <w:r>
        <w:rPr>
          <w:b/>
          <w:sz w:val="24"/>
          <w:szCs w:val="24"/>
        </w:rPr>
        <w:t>-personen</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Pr>
          <w:sz w:val="24"/>
          <w:szCs w:val="24"/>
        </w:rPr>
        <w:t>De gemeenteraad/het regiobestuur (doorhalen wat niet van toepassing is) van ______________________ (naam van de stad/regio),</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proofErr w:type="gramStart"/>
      <w:r>
        <w:rPr>
          <w:sz w:val="24"/>
          <w:szCs w:val="24"/>
        </w:rPr>
        <w:t>gezien</w:t>
      </w:r>
      <w:proofErr w:type="gramEnd"/>
      <w:r>
        <w:rPr>
          <w:sz w:val="24"/>
          <w:szCs w:val="24"/>
        </w:rPr>
        <w:t xml:space="preserve"> het Handvest van de grondrechten van de Europese Unie,</w:t>
      </w:r>
    </w:p>
    <w:p w14:paraId="00000009" w14:textId="77777777" w:rsidR="00245FCC" w:rsidRPr="00E8709B" w:rsidRDefault="00DE326F" w:rsidP="00DD03F0">
      <w:pPr>
        <w:numPr>
          <w:ilvl w:val="0"/>
          <w:numId w:val="3"/>
        </w:numPr>
        <w:rPr>
          <w:sz w:val="24"/>
          <w:szCs w:val="24"/>
        </w:rPr>
      </w:pPr>
      <w:proofErr w:type="gramStart"/>
      <w:r>
        <w:rPr>
          <w:sz w:val="24"/>
          <w:szCs w:val="24"/>
        </w:rPr>
        <w:t>gezien</w:t>
      </w:r>
      <w:proofErr w:type="gramEnd"/>
      <w:r>
        <w:rPr>
          <w:sz w:val="24"/>
          <w:szCs w:val="24"/>
        </w:rPr>
        <w:t xml:space="preserve"> artikel 2 van het Verdrag betreffende de Europese Unie (VEU),</w:t>
      </w:r>
    </w:p>
    <w:p w14:paraId="0000000A" w14:textId="77777777" w:rsidR="00245FCC" w:rsidRPr="00E8709B" w:rsidRDefault="00DE326F" w:rsidP="00DD03F0">
      <w:pPr>
        <w:numPr>
          <w:ilvl w:val="0"/>
          <w:numId w:val="3"/>
        </w:numPr>
        <w:rPr>
          <w:sz w:val="24"/>
          <w:szCs w:val="24"/>
        </w:rPr>
      </w:pPr>
      <w:proofErr w:type="gramStart"/>
      <w:r>
        <w:rPr>
          <w:sz w:val="24"/>
          <w:szCs w:val="24"/>
        </w:rPr>
        <w:t>gezien</w:t>
      </w:r>
      <w:proofErr w:type="gramEnd"/>
      <w:r>
        <w:rPr>
          <w:sz w:val="24"/>
          <w:szCs w:val="24"/>
        </w:rPr>
        <w:t xml:space="preserve"> het Europees Verdrag tot bescherming van de rechten van de mens en de bijbehorende jurisprudentie van het Europees Hof voor de Rechten van de Mens,</w:t>
      </w:r>
    </w:p>
    <w:p w14:paraId="0000000B" w14:textId="77777777" w:rsidR="00245FCC" w:rsidRPr="00E8709B" w:rsidRDefault="00DE326F" w:rsidP="00DD03F0">
      <w:pPr>
        <w:numPr>
          <w:ilvl w:val="0"/>
          <w:numId w:val="3"/>
        </w:numPr>
        <w:rPr>
          <w:sz w:val="24"/>
          <w:szCs w:val="24"/>
        </w:rPr>
      </w:pPr>
      <w:proofErr w:type="gramStart"/>
      <w:r>
        <w:rPr>
          <w:sz w:val="24"/>
          <w:szCs w:val="24"/>
        </w:rPr>
        <w:t>gezien</w:t>
      </w:r>
      <w:proofErr w:type="gramEnd"/>
      <w:r>
        <w:rPr>
          <w:sz w:val="24"/>
          <w:szCs w:val="24"/>
        </w:rPr>
        <w:t xml:space="preserve"> de Universele Verklaring van de Rechten van de Mens,</w:t>
      </w:r>
    </w:p>
    <w:p w14:paraId="0000000C" w14:textId="77777777" w:rsidR="00245FCC" w:rsidRPr="00E8709B" w:rsidRDefault="00DE326F" w:rsidP="00DD03F0">
      <w:pPr>
        <w:numPr>
          <w:ilvl w:val="0"/>
          <w:numId w:val="3"/>
        </w:numPr>
        <w:rPr>
          <w:sz w:val="24"/>
          <w:szCs w:val="24"/>
        </w:rPr>
      </w:pPr>
      <w:proofErr w:type="gramStart"/>
      <w:r>
        <w:rPr>
          <w:sz w:val="24"/>
          <w:szCs w:val="24"/>
        </w:rPr>
        <w:t>gezien</w:t>
      </w:r>
      <w:proofErr w:type="gramEnd"/>
      <w:r>
        <w:rPr>
          <w:sz w:val="24"/>
          <w:szCs w:val="24"/>
        </w:rPr>
        <w:t xml:space="preserve"> de resolutie van het Europees Parlement over het uitroepen van de EU tot vrijheidszone voor </w:t>
      </w:r>
      <w:proofErr w:type="spellStart"/>
      <w:r>
        <w:rPr>
          <w:sz w:val="24"/>
          <w:szCs w:val="24"/>
        </w:rPr>
        <w:t>lgbtiq</w:t>
      </w:r>
      <w:proofErr w:type="spellEnd"/>
      <w:r>
        <w:rPr>
          <w:sz w:val="24"/>
          <w:szCs w:val="24"/>
        </w:rPr>
        <w:t>-personen,</w:t>
      </w:r>
    </w:p>
    <w:p w14:paraId="0000000D" w14:textId="77777777" w:rsidR="00245FCC" w:rsidRPr="00E8709B" w:rsidRDefault="00DE326F" w:rsidP="00DD03F0">
      <w:pPr>
        <w:numPr>
          <w:ilvl w:val="0"/>
          <w:numId w:val="3"/>
        </w:numPr>
        <w:rPr>
          <w:sz w:val="24"/>
          <w:szCs w:val="24"/>
        </w:rPr>
      </w:pPr>
      <w:proofErr w:type="gramStart"/>
      <w:r>
        <w:rPr>
          <w:sz w:val="24"/>
          <w:szCs w:val="24"/>
        </w:rPr>
        <w:t>gezien</w:t>
      </w:r>
      <w:proofErr w:type="gramEnd"/>
      <w:r>
        <w:rPr>
          <w:sz w:val="24"/>
          <w:szCs w:val="24"/>
        </w:rPr>
        <w:t xml:space="preserve"> de resolutie van de gemeenteraad van Lissabon waarin de stad wordt uitgeroepen tot vrijheidszone voor </w:t>
      </w:r>
      <w:proofErr w:type="spellStart"/>
      <w:r>
        <w:rPr>
          <w:sz w:val="24"/>
          <w:szCs w:val="24"/>
        </w:rPr>
        <w:t>lhbtiq</w:t>
      </w:r>
      <w:proofErr w:type="spellEnd"/>
      <w:r>
        <w:rPr>
          <w:sz w:val="24"/>
          <w:szCs w:val="24"/>
        </w:rPr>
        <w:t>-personen,</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proofErr w:type="gramStart"/>
      <w:r>
        <w:rPr>
          <w:sz w:val="24"/>
          <w:szCs w:val="24"/>
        </w:rPr>
        <w:t>overwegende</w:t>
      </w:r>
      <w:proofErr w:type="gramEnd"/>
      <w:r>
        <w:rPr>
          <w:sz w:val="24"/>
          <w:szCs w:val="24"/>
        </w:rPr>
        <w:t xml:space="preserve"> dat </w:t>
      </w:r>
      <w:proofErr w:type="spellStart"/>
      <w:r>
        <w:rPr>
          <w:sz w:val="24"/>
          <w:szCs w:val="24"/>
        </w:rPr>
        <w:t>lhbtiq</w:t>
      </w:r>
      <w:proofErr w:type="spellEnd"/>
      <w:r>
        <w:rPr>
          <w:sz w:val="24"/>
          <w:szCs w:val="24"/>
        </w:rPr>
        <w:t>-rechten onder de mensenrechten vallen en dat het recht op gelijke behandeling en non-discriminatie een grondrecht is dat verankerd is in de Verdragen en in het Handvest van de grondrechten van de Europese Unie, en volledig geëerbiedigd moet worden;</w:t>
      </w:r>
    </w:p>
    <w:p w14:paraId="00000010" w14:textId="147A51C2" w:rsidR="00245FCC" w:rsidRPr="00E8709B" w:rsidRDefault="00DE326F" w:rsidP="00DD03F0">
      <w:pPr>
        <w:numPr>
          <w:ilvl w:val="0"/>
          <w:numId w:val="1"/>
        </w:numPr>
        <w:rPr>
          <w:sz w:val="24"/>
          <w:szCs w:val="24"/>
        </w:rPr>
      </w:pPr>
      <w:proofErr w:type="gramStart"/>
      <w:r>
        <w:rPr>
          <w:sz w:val="24"/>
          <w:szCs w:val="24"/>
        </w:rPr>
        <w:t>overwegende</w:t>
      </w:r>
      <w:proofErr w:type="gramEnd"/>
      <w:r>
        <w:rPr>
          <w:sz w:val="24"/>
          <w:szCs w:val="24"/>
        </w:rPr>
        <w:t xml:space="preserve"> dat sinds 2019 meer dan 100 regio’s, districten en gemeenten in Polen zichzelf in een resolutie hebben uitgeroepen tot zones “vrij van </w:t>
      </w:r>
      <w:proofErr w:type="spellStart"/>
      <w:r>
        <w:rPr>
          <w:sz w:val="24"/>
          <w:szCs w:val="24"/>
        </w:rPr>
        <w:t>lhbtiq</w:t>
      </w:r>
      <w:proofErr w:type="spellEnd"/>
      <w:r>
        <w:rPr>
          <w:sz w:val="24"/>
          <w:szCs w:val="24"/>
        </w:rPr>
        <w:t>-ideologie” of “regionale handvesten van gezinsrechten” hebben aangenomen;</w:t>
      </w:r>
    </w:p>
    <w:p w14:paraId="00000011" w14:textId="3AE015C4" w:rsidR="00245FCC" w:rsidRPr="00E8709B" w:rsidRDefault="00DE326F" w:rsidP="00DD03F0">
      <w:pPr>
        <w:numPr>
          <w:ilvl w:val="0"/>
          <w:numId w:val="1"/>
        </w:numPr>
        <w:rPr>
          <w:sz w:val="24"/>
          <w:szCs w:val="24"/>
        </w:rPr>
      </w:pPr>
      <w:proofErr w:type="gramStart"/>
      <w:r>
        <w:rPr>
          <w:sz w:val="24"/>
          <w:szCs w:val="24"/>
        </w:rPr>
        <w:t>overwegende</w:t>
      </w:r>
      <w:proofErr w:type="gramEnd"/>
      <w:r>
        <w:rPr>
          <w:sz w:val="24"/>
          <w:szCs w:val="24"/>
        </w:rPr>
        <w:t xml:space="preserve"> dat de Hongaarse gemeente </w:t>
      </w:r>
      <w:proofErr w:type="spellStart"/>
      <w:r>
        <w:rPr>
          <w:sz w:val="24"/>
          <w:szCs w:val="24"/>
        </w:rPr>
        <w:t>Nagykáta</w:t>
      </w:r>
      <w:proofErr w:type="spellEnd"/>
      <w:r>
        <w:rPr>
          <w:sz w:val="24"/>
          <w:szCs w:val="24"/>
        </w:rPr>
        <w:t xml:space="preserve"> in november 2020 een resolutie heeft aangenomen waarin de verspreiding van </w:t>
      </w:r>
      <w:proofErr w:type="spellStart"/>
      <w:r>
        <w:rPr>
          <w:sz w:val="24"/>
          <w:szCs w:val="24"/>
        </w:rPr>
        <w:t>lhbtiq</w:t>
      </w:r>
      <w:proofErr w:type="spellEnd"/>
      <w:r>
        <w:rPr>
          <w:sz w:val="24"/>
          <w:szCs w:val="24"/>
        </w:rPr>
        <w:t>-propaganda wordt verboden;</w:t>
      </w:r>
    </w:p>
    <w:p w14:paraId="00000012" w14:textId="77777777" w:rsidR="00245FCC" w:rsidRPr="00E8709B" w:rsidRDefault="00DE326F" w:rsidP="00DD03F0">
      <w:pPr>
        <w:numPr>
          <w:ilvl w:val="0"/>
          <w:numId w:val="1"/>
        </w:numPr>
        <w:rPr>
          <w:sz w:val="24"/>
          <w:szCs w:val="24"/>
        </w:rPr>
      </w:pPr>
      <w:proofErr w:type="gramStart"/>
      <w:r>
        <w:rPr>
          <w:sz w:val="24"/>
          <w:szCs w:val="24"/>
        </w:rPr>
        <w:lastRenderedPageBreak/>
        <w:t>overwegende</w:t>
      </w:r>
      <w:proofErr w:type="gramEnd"/>
      <w:r>
        <w:rPr>
          <w:sz w:val="24"/>
          <w:szCs w:val="24"/>
        </w:rPr>
        <w:t xml:space="preserve"> dat dergelijke resoluties volgens een studie van het Bureau van de Europese Unie voor de grondrechten van mei 2020 neerkomen op directe en indirecte discriminatie van </w:t>
      </w:r>
      <w:proofErr w:type="spellStart"/>
      <w:r>
        <w:rPr>
          <w:sz w:val="24"/>
          <w:szCs w:val="24"/>
        </w:rPr>
        <w:t>lhbtiq</w:t>
      </w:r>
      <w:proofErr w:type="spellEnd"/>
      <w:r>
        <w:rPr>
          <w:sz w:val="24"/>
          <w:szCs w:val="24"/>
        </w:rPr>
        <w:t xml:space="preserve">-personen en de directe aanleiding vormen voor de toename van geweld, intolerantie en </w:t>
      </w:r>
      <w:proofErr w:type="spellStart"/>
      <w:r>
        <w:rPr>
          <w:sz w:val="24"/>
          <w:szCs w:val="24"/>
        </w:rPr>
        <w:t>haatzaaiende</w:t>
      </w:r>
      <w:proofErr w:type="spellEnd"/>
      <w:r>
        <w:rPr>
          <w:sz w:val="24"/>
          <w:szCs w:val="24"/>
        </w:rPr>
        <w:t xml:space="preserve"> uitlatingen ten aanzien van </w:t>
      </w:r>
      <w:proofErr w:type="spellStart"/>
      <w:r>
        <w:rPr>
          <w:sz w:val="24"/>
          <w:szCs w:val="24"/>
        </w:rPr>
        <w:t>lhbtiq</w:t>
      </w:r>
      <w:proofErr w:type="spellEnd"/>
      <w:r>
        <w:rPr>
          <w:sz w:val="24"/>
          <w:szCs w:val="24"/>
        </w:rPr>
        <w:t xml:space="preserve">-personen of personen die als </w:t>
      </w:r>
      <w:proofErr w:type="spellStart"/>
      <w:r>
        <w:rPr>
          <w:sz w:val="24"/>
          <w:szCs w:val="24"/>
        </w:rPr>
        <w:t>lhbtiq’er</w:t>
      </w:r>
      <w:proofErr w:type="spellEnd"/>
      <w:r>
        <w:rPr>
          <w:sz w:val="24"/>
          <w:szCs w:val="24"/>
        </w:rPr>
        <w:t xml:space="preserve"> worden beschouwd;</w:t>
      </w:r>
    </w:p>
    <w:p w14:paraId="00000013" w14:textId="77777777" w:rsidR="00245FCC" w:rsidRPr="00E8709B" w:rsidRDefault="00DE326F" w:rsidP="004A221D">
      <w:pPr>
        <w:keepNext/>
        <w:keepLines/>
        <w:numPr>
          <w:ilvl w:val="0"/>
          <w:numId w:val="1"/>
        </w:numPr>
        <w:ind w:left="714" w:hanging="357"/>
        <w:rPr>
          <w:sz w:val="24"/>
          <w:szCs w:val="24"/>
        </w:rPr>
      </w:pPr>
      <w:r>
        <w:rPr>
          <w:sz w:val="24"/>
          <w:szCs w:val="24"/>
        </w:rPr>
        <w:t xml:space="preserve">overwegende dat de Commissie de aanvragen voor EU-financiering in het kader van haar jumelageprogramma heeft afgewezen van Poolse gemeenten die </w:t>
      </w:r>
      <w:proofErr w:type="spellStart"/>
      <w:r>
        <w:rPr>
          <w:sz w:val="24"/>
          <w:szCs w:val="24"/>
        </w:rPr>
        <w:t>lhbtiq</w:t>
      </w:r>
      <w:proofErr w:type="spellEnd"/>
      <w:r>
        <w:rPr>
          <w:sz w:val="24"/>
          <w:szCs w:val="24"/>
        </w:rPr>
        <w:t>-vrije zones hebben uitgeroepen of resoluties inzake gezinsrechten hebben aangenomen; overwegende dat alle EU-fondsen die in het kader van de verordening gemeenschappelijke bepalingen 2021-2027 worden beheerd het non-discriminatiebeginsel en de in het Verdrag verankerde grondrechten moeten eerbiedigen, met inbegrip van de rechten met betrekking tot seksuele gerichtheid;</w:t>
      </w:r>
    </w:p>
    <w:p w14:paraId="00000014" w14:textId="77777777" w:rsidR="00245FCC" w:rsidRPr="00E8709B" w:rsidRDefault="00DE326F" w:rsidP="00DD03F0">
      <w:pPr>
        <w:numPr>
          <w:ilvl w:val="0"/>
          <w:numId w:val="1"/>
        </w:numPr>
        <w:rPr>
          <w:sz w:val="24"/>
          <w:szCs w:val="24"/>
        </w:rPr>
      </w:pPr>
      <w:r>
        <w:rPr>
          <w:sz w:val="24"/>
          <w:szCs w:val="24"/>
        </w:rPr>
        <w:t xml:space="preserve">overwegende dat </w:t>
      </w:r>
      <w:proofErr w:type="spellStart"/>
      <w:r>
        <w:rPr>
          <w:sz w:val="24"/>
          <w:szCs w:val="24"/>
        </w:rPr>
        <w:t>lhbtiq</w:t>
      </w:r>
      <w:proofErr w:type="spellEnd"/>
      <w:r>
        <w:rPr>
          <w:sz w:val="24"/>
          <w:szCs w:val="24"/>
        </w:rPr>
        <w:t xml:space="preserve">-personen in Polen en Hongarije te maken krijgen met systematische discriminatie, en dit ook in de rest van de EU een probleem is, en dat er weinig tot geen vooruitgang wordt geboekt bij het tegengaan van de aanhoudende discriminatie en intimidatie van </w:t>
      </w:r>
      <w:proofErr w:type="spellStart"/>
      <w:r>
        <w:rPr>
          <w:sz w:val="24"/>
          <w:szCs w:val="24"/>
        </w:rPr>
        <w:t>lhbtiq</w:t>
      </w:r>
      <w:proofErr w:type="spellEnd"/>
      <w:r>
        <w:rPr>
          <w:sz w:val="24"/>
          <w:szCs w:val="24"/>
        </w:rPr>
        <w:t xml:space="preserve">-personen en de tegen hen gerichte </w:t>
      </w:r>
      <w:proofErr w:type="spellStart"/>
      <w:r>
        <w:rPr>
          <w:sz w:val="24"/>
          <w:szCs w:val="24"/>
        </w:rPr>
        <w:t>haatzaaiende</w:t>
      </w:r>
      <w:proofErr w:type="spellEnd"/>
      <w:r>
        <w:rPr>
          <w:sz w:val="24"/>
          <w:szCs w:val="24"/>
        </w:rPr>
        <w:t xml:space="preserve"> uitlatingen en haatmisdrijven; overwegende dat </w:t>
      </w:r>
      <w:proofErr w:type="spellStart"/>
      <w:r>
        <w:rPr>
          <w:sz w:val="24"/>
          <w:szCs w:val="24"/>
        </w:rPr>
        <w:t>lhbtiq</w:t>
      </w:r>
      <w:proofErr w:type="spellEnd"/>
      <w:r>
        <w:rPr>
          <w:sz w:val="24"/>
          <w:szCs w:val="24"/>
        </w:rPr>
        <w:t xml:space="preserve">-personen in elke lidstaat en op alle vlakken, onder meer op het werk en op school, nog steeds meer worden gediscrimineerd dan anderen en vaak worden geconfronteerd met fysiek, emotioneel en seksueel geweld, zowel online als offline, hetgeen leidt tot zorgwekkende zelfmoordcijfers onder jonge </w:t>
      </w:r>
      <w:proofErr w:type="spellStart"/>
      <w:r>
        <w:rPr>
          <w:sz w:val="24"/>
          <w:szCs w:val="24"/>
        </w:rPr>
        <w:t>lhbtiq</w:t>
      </w:r>
      <w:proofErr w:type="spellEnd"/>
      <w:r>
        <w:rPr>
          <w:sz w:val="24"/>
          <w:szCs w:val="24"/>
        </w:rPr>
        <w:t>-personen en met name jonge transgenders;</w:t>
      </w:r>
    </w:p>
    <w:p w14:paraId="00000015" w14:textId="77777777" w:rsidR="00245FCC" w:rsidRPr="00E8709B" w:rsidRDefault="00DE326F" w:rsidP="00DD03F0">
      <w:pPr>
        <w:numPr>
          <w:ilvl w:val="0"/>
          <w:numId w:val="1"/>
        </w:numPr>
        <w:rPr>
          <w:sz w:val="24"/>
          <w:szCs w:val="24"/>
        </w:rPr>
      </w:pPr>
      <w:proofErr w:type="gramStart"/>
      <w:r>
        <w:rPr>
          <w:sz w:val="24"/>
          <w:szCs w:val="24"/>
        </w:rPr>
        <w:t>overwegende</w:t>
      </w:r>
      <w:proofErr w:type="gramEnd"/>
      <w:r>
        <w:rPr>
          <w:sz w:val="24"/>
          <w:szCs w:val="24"/>
        </w:rPr>
        <w:t xml:space="preserve"> dat de bestrijding van ongelijkheid in de EU een gedeelde verantwoordelijkheid is en gezamenlijke inspanningen en maatregelen op elk bestuursniveau vereist, met name op het niveau van de lokale en regionale overheden, die in dit verband een cruciale rol te vervullen hebben, aangezien zij verantwoordelijk zijn voor de uitvoering van driekwart van de EU-wetgeving en de bevordering van gelijkheid en diversiteit;</w:t>
      </w:r>
    </w:p>
    <w:p w14:paraId="00000016" w14:textId="77C9233E" w:rsidR="00245FCC" w:rsidRPr="00E8709B" w:rsidRDefault="00DE326F" w:rsidP="00DD03F0">
      <w:pPr>
        <w:numPr>
          <w:ilvl w:val="0"/>
          <w:numId w:val="1"/>
        </w:numPr>
        <w:rPr>
          <w:sz w:val="24"/>
          <w:szCs w:val="24"/>
        </w:rPr>
      </w:pPr>
      <w:proofErr w:type="gramStart"/>
      <w:r>
        <w:rPr>
          <w:sz w:val="24"/>
          <w:szCs w:val="24"/>
        </w:rPr>
        <w:t>overwegende</w:t>
      </w:r>
      <w:proofErr w:type="gramEnd"/>
      <w:r>
        <w:rPr>
          <w:sz w:val="24"/>
          <w:szCs w:val="24"/>
        </w:rPr>
        <w:t xml:space="preserve"> dat de erkenning, bescherming en bevordering van de mensenrechten van </w:t>
      </w:r>
      <w:proofErr w:type="spellStart"/>
      <w:r>
        <w:rPr>
          <w:sz w:val="24"/>
          <w:szCs w:val="24"/>
        </w:rPr>
        <w:t>lhbtiq</w:t>
      </w:r>
      <w:proofErr w:type="spellEnd"/>
      <w:r>
        <w:rPr>
          <w:sz w:val="24"/>
          <w:szCs w:val="24"/>
        </w:rPr>
        <w:t xml:space="preserve">-personen in de Westelijke Balkan een cruciale stap is in de richting van toetreding van deze landen tot de EU, en dat lokale </w:t>
      </w:r>
      <w:proofErr w:type="spellStart"/>
      <w:r>
        <w:rPr>
          <w:sz w:val="24"/>
          <w:szCs w:val="24"/>
        </w:rPr>
        <w:t>lhbtiq</w:t>
      </w:r>
      <w:proofErr w:type="spellEnd"/>
      <w:r>
        <w:rPr>
          <w:sz w:val="24"/>
          <w:szCs w:val="24"/>
        </w:rPr>
        <w:t>-initiatieven ter bestrijding van dagelijkse discriminatie en haatmisdrijven de sleutel zijn tot bewustmaking en eerbiediging</w:t>
      </w:r>
      <w:r w:rsidR="004A221D">
        <w:rPr>
          <w:sz w:val="24"/>
          <w:szCs w:val="24"/>
        </w:rPr>
        <w:t xml:space="preserve"> van de rechten van </w:t>
      </w:r>
      <w:proofErr w:type="spellStart"/>
      <w:r w:rsidR="004A221D">
        <w:rPr>
          <w:sz w:val="24"/>
          <w:szCs w:val="24"/>
        </w:rPr>
        <w:t>lhbtiq’ers</w:t>
      </w:r>
      <w:proofErr w:type="spellEnd"/>
      <w:r w:rsidR="004A221D">
        <w:rPr>
          <w:sz w:val="24"/>
          <w:szCs w:val="24"/>
        </w:rPr>
        <w:t>;</w:t>
      </w:r>
    </w:p>
    <w:p w14:paraId="00000017" w14:textId="0B820F02" w:rsidR="00245FCC" w:rsidRPr="00E8709B" w:rsidRDefault="00DE326F" w:rsidP="00DD03F0">
      <w:pPr>
        <w:numPr>
          <w:ilvl w:val="0"/>
          <w:numId w:val="1"/>
        </w:numPr>
        <w:rPr>
          <w:sz w:val="24"/>
          <w:szCs w:val="24"/>
        </w:rPr>
      </w:pPr>
      <w:proofErr w:type="gramStart"/>
      <w:r>
        <w:rPr>
          <w:sz w:val="24"/>
          <w:szCs w:val="24"/>
        </w:rPr>
        <w:t>overwegende</w:t>
      </w:r>
      <w:proofErr w:type="gramEnd"/>
      <w:r>
        <w:rPr>
          <w:sz w:val="24"/>
          <w:szCs w:val="24"/>
        </w:rPr>
        <w:t xml:space="preserve"> dat de fractie van de Europese Sociaaldemocraten in het Europees Comité van de Regio’s, samen met </w:t>
      </w:r>
      <w:proofErr w:type="spellStart"/>
      <w:r>
        <w:rPr>
          <w:sz w:val="24"/>
          <w:szCs w:val="24"/>
        </w:rPr>
        <w:t>Renew</w:t>
      </w:r>
      <w:proofErr w:type="spellEnd"/>
      <w:r>
        <w:rPr>
          <w:sz w:val="24"/>
          <w:szCs w:val="24"/>
        </w:rPr>
        <w:t xml:space="preserve"> Europe, de Europese Alliantie en de Groenen, het Comité heeft verzocht om resoluut stelling te nemen tegen schendingen van de rechten van </w:t>
      </w:r>
      <w:proofErr w:type="spellStart"/>
      <w:r>
        <w:rPr>
          <w:sz w:val="24"/>
          <w:szCs w:val="24"/>
        </w:rPr>
        <w:t>lhbtiq</w:t>
      </w:r>
      <w:proofErr w:type="spellEnd"/>
      <w:r>
        <w:rPr>
          <w:sz w:val="24"/>
          <w:szCs w:val="24"/>
        </w:rPr>
        <w:t xml:space="preserve">-personen, zoals de oprichting van zones “vrij van </w:t>
      </w:r>
      <w:proofErr w:type="spellStart"/>
      <w:r>
        <w:rPr>
          <w:sz w:val="24"/>
          <w:szCs w:val="24"/>
        </w:rPr>
        <w:t>lhbtiq</w:t>
      </w:r>
      <w:proofErr w:type="spellEnd"/>
      <w:r>
        <w:rPr>
          <w:sz w:val="24"/>
          <w:szCs w:val="24"/>
        </w:rPr>
        <w:t>-ideologie”;</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proofErr w:type="gramStart"/>
      <w:r>
        <w:rPr>
          <w:sz w:val="24"/>
          <w:szCs w:val="24"/>
        </w:rPr>
        <w:t>in</w:t>
      </w:r>
      <w:proofErr w:type="gramEnd"/>
      <w:r>
        <w:rPr>
          <w:sz w:val="24"/>
          <w:szCs w:val="24"/>
        </w:rPr>
        <w:t xml:space="preserve"> het licht van het bovenstaande heeft de gemeenteraad/het regiobestuur (doorhalen wat niet van toepassing is) van ______________________ (naam van de stad/regio) besloten</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proofErr w:type="gramStart"/>
      <w:r>
        <w:rPr>
          <w:sz w:val="24"/>
          <w:szCs w:val="24"/>
        </w:rPr>
        <w:t>om</w:t>
      </w:r>
      <w:proofErr w:type="gramEnd"/>
      <w:r>
        <w:rPr>
          <w:sz w:val="24"/>
          <w:szCs w:val="24"/>
        </w:rPr>
        <w:t xml:space="preserve"> ______________________ (naam van de stad/regio) uit te roepen tot vrijheidszone voor </w:t>
      </w:r>
      <w:proofErr w:type="spellStart"/>
      <w:r>
        <w:rPr>
          <w:sz w:val="24"/>
          <w:szCs w:val="24"/>
        </w:rPr>
        <w:t>lhbtiq</w:t>
      </w:r>
      <w:proofErr w:type="spellEnd"/>
      <w:r>
        <w:rPr>
          <w:sz w:val="24"/>
          <w:szCs w:val="24"/>
        </w:rPr>
        <w:t xml:space="preserve">-personen, in navolging van de verklaring van het Europees Parlement van </w:t>
      </w:r>
      <w:r>
        <w:rPr>
          <w:sz w:val="24"/>
          <w:szCs w:val="24"/>
        </w:rPr>
        <w:lastRenderedPageBreak/>
        <w:t xml:space="preserve">11 maart 2021, en maatregelen te nemen om de rechten van </w:t>
      </w:r>
      <w:proofErr w:type="spellStart"/>
      <w:r>
        <w:rPr>
          <w:sz w:val="24"/>
          <w:szCs w:val="24"/>
        </w:rPr>
        <w:t>lhbtiq</w:t>
      </w:r>
      <w:proofErr w:type="spellEnd"/>
      <w:r>
        <w:rPr>
          <w:sz w:val="24"/>
          <w:szCs w:val="24"/>
        </w:rPr>
        <w:t>-personen te bevorderen en te beschermen en daarnaast ook structurele-discriminatiemechanismen uitdrukkelijk te bestraffen;</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proofErr w:type="gramStart"/>
      <w:r>
        <w:rPr>
          <w:sz w:val="24"/>
          <w:szCs w:val="24"/>
        </w:rPr>
        <w:t>om</w:t>
      </w:r>
      <w:proofErr w:type="gramEnd"/>
      <w:r>
        <w:rPr>
          <w:sz w:val="24"/>
          <w:szCs w:val="24"/>
        </w:rPr>
        <w:t xml:space="preserve"> de acties van de Poolse en de Hongaarse regering, die indruisen tegen de rechten van </w:t>
      </w:r>
      <w:proofErr w:type="spellStart"/>
      <w:r>
        <w:rPr>
          <w:sz w:val="24"/>
          <w:szCs w:val="24"/>
        </w:rPr>
        <w:t>lhbtiq</w:t>
      </w:r>
      <w:proofErr w:type="spellEnd"/>
      <w:r>
        <w:rPr>
          <w:sz w:val="24"/>
          <w:szCs w:val="24"/>
        </w:rPr>
        <w:t xml:space="preserve">-personen en duidelijk in strijd zijn met het Handvest van de grondrechten van de Europese Unie en de Universele Verklaring van de Rechten van de Mens, alsook elke andere vorm van discriminatie van </w:t>
      </w:r>
      <w:proofErr w:type="spellStart"/>
      <w:r>
        <w:rPr>
          <w:sz w:val="24"/>
          <w:szCs w:val="24"/>
        </w:rPr>
        <w:t>lhbtiq</w:t>
      </w:r>
      <w:proofErr w:type="spellEnd"/>
      <w:r>
        <w:rPr>
          <w:sz w:val="24"/>
          <w:szCs w:val="24"/>
        </w:rPr>
        <w:t>-personen, te veroordelen;</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proofErr w:type="gramStart"/>
      <w:r>
        <w:rPr>
          <w:sz w:val="24"/>
          <w:szCs w:val="24"/>
        </w:rPr>
        <w:t>om</w:t>
      </w:r>
      <w:proofErr w:type="gramEnd"/>
      <w:r>
        <w:rPr>
          <w:sz w:val="24"/>
          <w:szCs w:val="24"/>
        </w:rPr>
        <w:t xml:space="preserve"> tijdens </w:t>
      </w:r>
      <w:proofErr w:type="spellStart"/>
      <w:r>
        <w:rPr>
          <w:i/>
          <w:sz w:val="24"/>
          <w:szCs w:val="24"/>
        </w:rPr>
        <w:t>Pride</w:t>
      </w:r>
      <w:proofErr w:type="spellEnd"/>
      <w:r>
        <w:rPr>
          <w:i/>
          <w:sz w:val="24"/>
          <w:szCs w:val="24"/>
        </w:rPr>
        <w:t xml:space="preserve"> </w:t>
      </w:r>
      <w:proofErr w:type="spellStart"/>
      <w:r>
        <w:rPr>
          <w:i/>
          <w:sz w:val="24"/>
          <w:szCs w:val="24"/>
        </w:rPr>
        <w:t>Month</w:t>
      </w:r>
      <w:proofErr w:type="spellEnd"/>
      <w:r>
        <w:rPr>
          <w:sz w:val="24"/>
          <w:szCs w:val="24"/>
        </w:rPr>
        <w:t xml:space="preserve"> de regenboogvlag te hijsen op het gemeentehuis/de zetel van het regiobestuur van ______________________ (gemeente/stad/regio).</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74332347" w:rsidR="00663778" w:rsidRPr="008D0520" w:rsidRDefault="00663778" w:rsidP="008D0520">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2297E"/>
    <w:rsid w:val="00185826"/>
    <w:rsid w:val="00245FCC"/>
    <w:rsid w:val="003468C8"/>
    <w:rsid w:val="003C2346"/>
    <w:rsid w:val="00430D00"/>
    <w:rsid w:val="00442240"/>
    <w:rsid w:val="00454738"/>
    <w:rsid w:val="004A221D"/>
    <w:rsid w:val="004C4177"/>
    <w:rsid w:val="00597755"/>
    <w:rsid w:val="0064613A"/>
    <w:rsid w:val="00663778"/>
    <w:rsid w:val="0077582D"/>
    <w:rsid w:val="007E6792"/>
    <w:rsid w:val="008975DA"/>
    <w:rsid w:val="008C2864"/>
    <w:rsid w:val="008D0520"/>
    <w:rsid w:val="00974F8B"/>
    <w:rsid w:val="009A3049"/>
    <w:rsid w:val="00AE61EB"/>
    <w:rsid w:val="00BC79C2"/>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l-NL"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nl-NL"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nl-NL"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nl-NL"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nl-NL"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nl-NL"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nl-NL"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3TERTJPUQSXZ-290178795-2569</_dlc_DocId>
    <_dlc_DocIdUrl xmlns="2c9916e3-590a-47ee-8a4b-72c761a69c9e">
      <Url>http://dm2016/cor/2021/_layouts/15/DocIdRedir.aspx?ID=3TERTJPUQSXZ-290178795-2569</Url>
      <Description>3TERTJPUQSXZ-290178795-2569</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33</Value>
      <Value>31</Value>
      <Value>29</Value>
      <Value>102</Value>
      <Value>27</Value>
      <Value>25</Value>
      <Value>24</Value>
      <Value>23</Value>
      <Value>22</Value>
      <Value>20</Value>
      <Value>17</Value>
      <Value>16</Value>
      <Value>15</Value>
      <Value>14</Value>
      <Value>28</Value>
      <Value>47</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NL</TermName>
          <TermId xmlns="http://schemas.microsoft.com/office/infopath/2007/PartnerControls">55c6556c-b4f4-441d-9acf-c498d4f838bd</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Buts Christel</DisplayName>
        <AccountId>1888</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Props1.xml><?xml version="1.0" encoding="utf-8"?>
<ds:datastoreItem xmlns:ds="http://schemas.openxmlformats.org/officeDocument/2006/customXml" ds:itemID="{971A726F-FAF3-4C3A-9BC2-6CBB9169B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1EE08-74B2-4619-8FB6-ED0BA62DEDF2}">
  <ds:schemaRefs>
    <ds:schemaRef ds:uri="http://schemas.microsoft.com/sharepoint/events"/>
  </ds:schemaRefs>
</ds:datastoreItem>
</file>

<file path=customXml/itemProps3.xml><?xml version="1.0" encoding="utf-8"?>
<ds:datastoreItem xmlns:ds="http://schemas.openxmlformats.org/officeDocument/2006/customXml" ds:itemID="{A94E2496-0D5C-41C0-A25D-19DD53D580D4}">
  <ds:schemaRefs>
    <ds:schemaRef ds:uri="http://schemas.microsoft.com/sharepoint/v3/contenttype/forms"/>
  </ds:schemaRefs>
</ds:datastoreItem>
</file>

<file path=customXml/itemProps4.xml><?xml version="1.0" encoding="utf-8"?>
<ds:datastoreItem xmlns:ds="http://schemas.openxmlformats.org/officeDocument/2006/customXml" ds:itemID="{EB26B016-8CE8-4C90-8EF6-19AEC16E1266}">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sharepoint/v3/fields"/>
    <ds:schemaRef ds:uri="http://purl.org/dc/elements/1.1/"/>
    <ds:schemaRef ds:uri="http://schemas.microsoft.com/office/2006/metadata/properties"/>
    <ds:schemaRef ds:uri="53b81712-f9c8-4958-a947-3e706e9f0091"/>
    <ds:schemaRef ds:uri="2c9916e3-590a-47ee-8a4b-72c761a69c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Naam van de stad/regio wordt uitgeroepen tot Vrijheidszone voor LHBTIQ-personen</vt:lpstr>
    </vt:vector>
  </TitlesOfParts>
  <Company>EESC-ECOR</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 van de stad/regio wordt uitgeroepen tot Vrijheidszone voor LHBTIQ-personen</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2021-05-19T11:18:00Z</dcterms:created>
  <dcterms:modified xsi:type="dcterms:W3CDTF">2021-05-31T07:58:00Z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236e6793-f189-4b69-95c6-b1136b236e88</vt:lpwstr>
  </property>
  <property fmtid="{D5CDD505-2E9C-101B-9397-08002B2CF9AE}" pid="9" name="AvailableTranslations">
    <vt:lpwstr>20;#MT|7df99101-6854-4a26-b53a-b88c0da02c26;#25;#BG|1a1b3951-7821-4e6a-85f5-5673fc08bd2c;#29;#CS|72f9705b-0217-4fd3-bea2-cbc7ed80e26e;#14;#DE|f6b31e5a-26fa-4935-b661-318e46daf27e;#15;#LT|a7ff5ce7-6123-4f68-865a-a57c31810414;#47;#GA|762d2456-c427-4ecb-b312</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MT|7df99101-6854-4a26-b53a-b88c0da02c26;EL|6d4f4d51-af9b-4650-94b4-4276bee85c91;ES|e7a6b05b-ae16-40c8-add9-68b64b03aeba;FR|d2afafd3-4c81-4f60-8f52-ee33f2f54ff3;PL|1e03da61-4678-4e07-b136-b5024ca9197b;EN|f2175f21-25d7-44a3-96da-d6a61b075e1b</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16;#ES|e7a6b05b-ae16-40c8-add9-68b64b03aeba;#20;#MT|7df99101-6854-4a26-b53a-b88c0da02c26;#27;#EL|6d4f4d51-af9b-4650-94b4-4276bee85c91;#8;#EN|f2175f21-25d7-44a3-96da-d6a61b075e1b;#24;#FR|d2afafd3-4c81-4f60-8f52-ee33f2f54ff3;#6;#Final|ea5e6674-7b27-4bac-b09</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31;#NL|55c6556c-b4f4-441d-9acf-c498d4f838bd</vt:lpwstr>
  </property>
  <property fmtid="{D5CDD505-2E9C-101B-9397-08002B2CF9AE}" pid="35" name="_docset_NoMedatataSyncRequired">
    <vt:lpwstr>False</vt:lpwstr>
  </property>
</Properties>
</file>