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62605C" w:rsidRDefault="0062605C" w:rsidP="007F6E21">
      <w:pPr>
        <w:pStyle w:val="FooterAddress"/>
      </w:pPr>
      <w:r w:rsidRPr="0062605C">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p>
    <w:p w:rsidR="0062605C" w:rsidRPr="0062605C" w:rsidRDefault="007F6E21" w:rsidP="0062605C">
      <w:pPr>
        <w:jc w:val="center"/>
        <w:rPr>
          <w:b/>
          <w:bCs/>
          <w:color w:val="FF0000"/>
          <w:sz w:val="32"/>
          <w:szCs w:val="32"/>
        </w:rPr>
      </w:pPr>
      <w:r w:rsidRPr="007F6E21">
        <w:rPr>
          <w:rStyle w:val="Hyperlink"/>
          <w:b/>
          <w:bCs/>
          <w:color w:val="FF0000"/>
          <w:sz w:val="32"/>
          <w:szCs w:val="32"/>
          <w:u w:val="none"/>
        </w:rPr>
        <w:t>Покана за представяне на най-добри практики в областта на политиките за децата</w:t>
      </w:r>
    </w:p>
    <w:p w:rsidR="0062605C" w:rsidRPr="0062605C" w:rsidRDefault="0062605C" w:rsidP="0062605C">
      <w:pPr>
        <w:jc w:val="both"/>
        <w:rPr>
          <w:sz w:val="28"/>
          <w:szCs w:val="28"/>
        </w:rPr>
      </w:pPr>
    </w:p>
    <w:p w:rsidR="0062605C" w:rsidRPr="00975479" w:rsidRDefault="007F6E21" w:rsidP="0062605C">
      <w:pPr>
        <w:jc w:val="both"/>
        <w:rPr>
          <w:b/>
          <w:color w:val="FF0000"/>
          <w:sz w:val="28"/>
          <w:szCs w:val="28"/>
        </w:rPr>
      </w:pPr>
      <w:r w:rsidRPr="007F6E21">
        <w:rPr>
          <w:b/>
          <w:color w:val="FF0000"/>
          <w:sz w:val="28"/>
          <w:szCs w:val="28"/>
        </w:rPr>
        <w:t>Децата са нашето бъдеще.</w:t>
      </w:r>
    </w:p>
    <w:p w:rsidR="007F6E21" w:rsidRDefault="007F6E21" w:rsidP="007F6E21">
      <w:pPr>
        <w:rPr>
          <w:sz w:val="28"/>
          <w:szCs w:val="28"/>
        </w:rPr>
      </w:pPr>
    </w:p>
    <w:p w:rsidR="007F6E21" w:rsidRPr="007F6E21" w:rsidRDefault="007F6E21" w:rsidP="007F6E21">
      <w:pPr>
        <w:jc w:val="both"/>
        <w:rPr>
          <w:sz w:val="28"/>
          <w:szCs w:val="28"/>
        </w:rPr>
      </w:pPr>
      <w:r w:rsidRPr="007F6E21">
        <w:rPr>
          <w:sz w:val="28"/>
          <w:szCs w:val="28"/>
        </w:rPr>
        <w:t>На 20 ноември 2020 </w:t>
      </w:r>
      <w:proofErr w:type="gramStart"/>
      <w:r w:rsidRPr="007F6E21">
        <w:rPr>
          <w:sz w:val="28"/>
          <w:szCs w:val="28"/>
        </w:rPr>
        <w:t>г.,</w:t>
      </w:r>
      <w:proofErr w:type="gramEnd"/>
      <w:r w:rsidRPr="007F6E21">
        <w:rPr>
          <w:sz w:val="28"/>
          <w:szCs w:val="28"/>
        </w:rPr>
        <w:t xml:space="preserve"> по случай Световния ден на детето, нашата група — в сътрудничество с Фондацията за европейски прогресивни изследвания (FEPS) — отправи </w:t>
      </w:r>
      <w:hyperlink r:id="rId8" w:history="1">
        <w:r w:rsidRPr="007F6E21">
          <w:rPr>
            <w:rStyle w:val="Hyperlink"/>
            <w:b/>
            <w:bCs/>
            <w:color w:val="FF0000"/>
            <w:sz w:val="28"/>
            <w:szCs w:val="28"/>
          </w:rPr>
          <w:t>призив за създаване на Съюз на децата</w:t>
        </w:r>
      </w:hyperlink>
      <w:r w:rsidRPr="007F6E21">
        <w:rPr>
          <w:sz w:val="28"/>
          <w:szCs w:val="28"/>
        </w:rPr>
        <w:t xml:space="preserve"> с цел борба с детската бедност и насърчаване на равните възможности за всички деца в ЕС посредством:</w:t>
      </w:r>
    </w:p>
    <w:p w:rsidR="007F6E21" w:rsidRPr="007F6E21" w:rsidRDefault="007F6E21" w:rsidP="007F6E21">
      <w:pPr>
        <w:jc w:val="both"/>
        <w:rPr>
          <w:sz w:val="28"/>
          <w:szCs w:val="28"/>
        </w:rPr>
      </w:pPr>
    </w:p>
    <w:p w:rsidR="007F6E21" w:rsidRPr="007F6E21" w:rsidRDefault="007F6E21" w:rsidP="007F6E21">
      <w:pPr>
        <w:pStyle w:val="ListParagraph"/>
        <w:numPr>
          <w:ilvl w:val="0"/>
          <w:numId w:val="13"/>
        </w:numPr>
        <w:jc w:val="both"/>
        <w:rPr>
          <w:sz w:val="28"/>
          <w:szCs w:val="28"/>
        </w:rPr>
      </w:pPr>
      <w:r w:rsidRPr="007F6E21">
        <w:rPr>
          <w:sz w:val="28"/>
          <w:szCs w:val="28"/>
        </w:rPr>
        <w:t>бързо влизане в сила на Европейската гаранция за децата;</w:t>
      </w:r>
    </w:p>
    <w:p w:rsidR="007F6E21" w:rsidRPr="007F6E21" w:rsidRDefault="007F6E21" w:rsidP="007F6E21">
      <w:pPr>
        <w:pStyle w:val="ListParagraph"/>
        <w:numPr>
          <w:ilvl w:val="0"/>
          <w:numId w:val="13"/>
        </w:numPr>
        <w:jc w:val="both"/>
        <w:rPr>
          <w:sz w:val="28"/>
          <w:szCs w:val="28"/>
        </w:rPr>
      </w:pPr>
      <w:r w:rsidRPr="007F6E21">
        <w:rPr>
          <w:sz w:val="28"/>
          <w:szCs w:val="28"/>
        </w:rPr>
        <w:t>разработване на инвестиционна екосистема за европейските деца, като се започне с правилно планиране на финансирането по линия на Next Generation EU;</w:t>
      </w:r>
    </w:p>
    <w:p w:rsidR="007F6E21" w:rsidRPr="007F6E21" w:rsidRDefault="007F6E21" w:rsidP="007F6E21">
      <w:pPr>
        <w:pStyle w:val="ListParagraph"/>
        <w:numPr>
          <w:ilvl w:val="0"/>
          <w:numId w:val="13"/>
        </w:numPr>
        <w:jc w:val="both"/>
        <w:rPr>
          <w:sz w:val="28"/>
          <w:szCs w:val="28"/>
        </w:rPr>
      </w:pPr>
      <w:proofErr w:type="gramStart"/>
      <w:r w:rsidRPr="007F6E21">
        <w:rPr>
          <w:sz w:val="28"/>
          <w:szCs w:val="28"/>
        </w:rPr>
        <w:t>всеобщ</w:t>
      </w:r>
      <w:proofErr w:type="gramEnd"/>
      <w:r w:rsidRPr="007F6E21">
        <w:rPr>
          <w:sz w:val="28"/>
          <w:szCs w:val="28"/>
        </w:rPr>
        <w:t xml:space="preserve"> и равен достъп до качествено и приобщаващо образование и грижи в ранна детска възраст.</w:t>
      </w:r>
    </w:p>
    <w:p w:rsidR="007F6E21" w:rsidRPr="007F6E21" w:rsidRDefault="007F6E21" w:rsidP="007F6E21">
      <w:pPr>
        <w:jc w:val="both"/>
        <w:rPr>
          <w:sz w:val="28"/>
          <w:szCs w:val="28"/>
        </w:rPr>
      </w:pPr>
    </w:p>
    <w:p w:rsidR="007F6E21" w:rsidRPr="007F6E21" w:rsidRDefault="007F6E21" w:rsidP="007F6E21">
      <w:pPr>
        <w:jc w:val="both"/>
        <w:rPr>
          <w:sz w:val="28"/>
          <w:szCs w:val="28"/>
        </w:rPr>
      </w:pPr>
      <w:r w:rsidRPr="007F6E21">
        <w:rPr>
          <w:sz w:val="28"/>
          <w:szCs w:val="28"/>
        </w:rPr>
        <w:t>Призивът беше подписан от местни и регионални органи, членове на Европейския парламент, членове на националните парламенти, представители на академичните среди, практикуващи специалисти и частни граждани.</w:t>
      </w:r>
    </w:p>
    <w:p w:rsidR="007F6E21" w:rsidRPr="007F6E21" w:rsidRDefault="007F6E21" w:rsidP="007F6E21">
      <w:pPr>
        <w:jc w:val="both"/>
        <w:rPr>
          <w:sz w:val="28"/>
          <w:szCs w:val="28"/>
        </w:rPr>
      </w:pPr>
    </w:p>
    <w:p w:rsidR="007F6E21" w:rsidRPr="007F6E21" w:rsidRDefault="007F6E21" w:rsidP="007F6E21">
      <w:pPr>
        <w:jc w:val="both"/>
        <w:rPr>
          <w:sz w:val="28"/>
          <w:szCs w:val="28"/>
        </w:rPr>
      </w:pPr>
      <w:r w:rsidRPr="007F6E21">
        <w:rPr>
          <w:sz w:val="28"/>
          <w:szCs w:val="28"/>
        </w:rPr>
        <w:t>Всички ние осъзнаваме, че положението на децата в Европейския съюз се влоши особено в резултат на пандемията от COVID</w:t>
      </w:r>
      <w:r w:rsidRPr="007F6E21">
        <w:rPr>
          <w:sz w:val="28"/>
          <w:szCs w:val="28"/>
        </w:rPr>
        <w:noBreakHyphen/>
        <w:t>19 и че бързите действия са ключово политическо искане на нашето политическо семейство.</w:t>
      </w:r>
    </w:p>
    <w:p w:rsidR="007F6E21" w:rsidRPr="007F6E21" w:rsidRDefault="007F6E21" w:rsidP="007F6E21">
      <w:pPr>
        <w:jc w:val="both"/>
        <w:rPr>
          <w:sz w:val="28"/>
          <w:szCs w:val="28"/>
        </w:rPr>
      </w:pPr>
    </w:p>
    <w:p w:rsidR="007F6E21" w:rsidRPr="007F6E21" w:rsidRDefault="007F6E21" w:rsidP="007F6E21">
      <w:pPr>
        <w:jc w:val="both"/>
        <w:rPr>
          <w:sz w:val="28"/>
          <w:szCs w:val="28"/>
        </w:rPr>
      </w:pPr>
      <w:r w:rsidRPr="007F6E21">
        <w:rPr>
          <w:sz w:val="28"/>
          <w:szCs w:val="28"/>
        </w:rPr>
        <w:t>В наскоро приетия план за действие за прилагане на Европейския стълб на социалните права се посочва, че от общо 15 милиона души, които се предвижда да преодолеят бедността или социалното изключване до 2030 г., най</w:t>
      </w:r>
      <w:r w:rsidRPr="007F6E21">
        <w:rPr>
          <w:sz w:val="28"/>
          <w:szCs w:val="28"/>
        </w:rPr>
        <w:noBreakHyphen/>
        <w:t xml:space="preserve">малко 5 милиона би трябвало да бъдат деца. За тази цел от държавите членки, които </w:t>
      </w:r>
      <w:r w:rsidRPr="007F6E21">
        <w:rPr>
          <w:sz w:val="28"/>
          <w:szCs w:val="28"/>
        </w:rPr>
        <w:lastRenderedPageBreak/>
        <w:t>са най-силно засегнати от проблема с детската бедност, се изисква да инвестират най-малко 25 % от своите средства по линия на ЕСФ + в борбата срещу бедността и социалното изключване, от които 5 % в мерки за борба с детската бедност. Остава да се види дали това ще бъде одобрено от Съвета.</w:t>
      </w:r>
    </w:p>
    <w:p w:rsidR="007F6E21" w:rsidRPr="007F6E21" w:rsidRDefault="007F6E21" w:rsidP="007F6E21">
      <w:pPr>
        <w:jc w:val="both"/>
        <w:rPr>
          <w:sz w:val="28"/>
          <w:szCs w:val="28"/>
        </w:rPr>
      </w:pPr>
    </w:p>
    <w:p w:rsidR="007F6E21" w:rsidRPr="007F6E21" w:rsidRDefault="007F6E21" w:rsidP="007F6E21">
      <w:pPr>
        <w:jc w:val="both"/>
        <w:rPr>
          <w:sz w:val="28"/>
          <w:szCs w:val="28"/>
        </w:rPr>
      </w:pPr>
      <w:r w:rsidRPr="007F6E21">
        <w:rPr>
          <w:sz w:val="28"/>
          <w:szCs w:val="28"/>
        </w:rPr>
        <w:t>Ето защо през 2021 </w:t>
      </w:r>
      <w:proofErr w:type="gramStart"/>
      <w:r w:rsidRPr="007F6E21">
        <w:rPr>
          <w:sz w:val="28"/>
          <w:szCs w:val="28"/>
        </w:rPr>
        <w:t>г.,</w:t>
      </w:r>
      <w:proofErr w:type="gramEnd"/>
      <w:r w:rsidRPr="007F6E21">
        <w:rPr>
          <w:sz w:val="28"/>
          <w:szCs w:val="28"/>
        </w:rPr>
        <w:t xml:space="preserve"> благодарение на Вашите действия и подкрепа, бихме искали да проведем политическа и комуникационна кампания в подкрепа на създаването на Съюз на децата. Вие сте нашите най-добри посланици, тъй като сте в предните редици на прилагането на политиките в полза на децата по места. Затова бихме искали да Ви поканим </w:t>
      </w:r>
      <w:r w:rsidRPr="007F6E21">
        <w:rPr>
          <w:b/>
          <w:sz w:val="28"/>
          <w:szCs w:val="28"/>
          <w:u w:val="single"/>
        </w:rPr>
        <w:t>да споделите най-добрите си практики в областта на политиките за децата</w:t>
      </w:r>
      <w:r w:rsidRPr="007F6E21">
        <w:rPr>
          <w:sz w:val="28"/>
          <w:szCs w:val="28"/>
        </w:rPr>
        <w:t>.</w:t>
      </w:r>
    </w:p>
    <w:p w:rsidR="007F6E21" w:rsidRPr="007F6E21" w:rsidRDefault="007F6E21" w:rsidP="007F6E21">
      <w:pPr>
        <w:jc w:val="both"/>
        <w:rPr>
          <w:sz w:val="28"/>
          <w:szCs w:val="28"/>
        </w:rPr>
      </w:pPr>
    </w:p>
    <w:p w:rsidR="007F6E21" w:rsidRPr="007F6E21" w:rsidRDefault="007F6E21" w:rsidP="007F6E21">
      <w:pPr>
        <w:jc w:val="both"/>
        <w:rPr>
          <w:sz w:val="28"/>
          <w:szCs w:val="28"/>
        </w:rPr>
      </w:pPr>
      <w:proofErr w:type="gramStart"/>
      <w:r w:rsidRPr="007F6E21">
        <w:rPr>
          <w:sz w:val="28"/>
          <w:szCs w:val="28"/>
        </w:rPr>
        <w:t>Вашите най-добри практики биха могли да се отнасят до: гарантиране и разширяване на достъпа до обществени услуги за грижи за деца; задействане на конкретни мерки за включване на децата в неравностойно положение; гарантиране на правата на детето и законоустановените права; осигуряване на основен доход за деца или схеми за прехвърляне на доходи в полза на децата; действия в подкрепа на приобщаващите учебни резултати, учебни програми и учебна среда, които да насърчават придобиването на необходимите умения за успех през 21</w:t>
      </w:r>
      <w:r w:rsidRPr="007F6E21">
        <w:rPr>
          <w:sz w:val="28"/>
          <w:szCs w:val="28"/>
        </w:rPr>
        <w:noBreakHyphen/>
        <w:t>и век от всички деца; подкрепа за педагогически проекти в полза на учителите и персонала в качеството им на двигатели на промяната; насърчаване на демократичната ангажираност и участието на родителите и общностите в процеса на учене.</w:t>
      </w:r>
      <w:proofErr w:type="gramEnd"/>
    </w:p>
    <w:p w:rsidR="007F6E21" w:rsidRPr="007F6E21" w:rsidRDefault="007F6E21" w:rsidP="007F6E21">
      <w:pPr>
        <w:jc w:val="both"/>
        <w:rPr>
          <w:sz w:val="28"/>
          <w:szCs w:val="28"/>
        </w:rPr>
      </w:pPr>
    </w:p>
    <w:p w:rsidR="007F6E21" w:rsidRPr="007F6E21" w:rsidRDefault="007F6E21" w:rsidP="007F6E21">
      <w:pPr>
        <w:jc w:val="both"/>
        <w:rPr>
          <w:b/>
          <w:sz w:val="28"/>
          <w:szCs w:val="28"/>
        </w:rPr>
      </w:pPr>
      <w:r w:rsidRPr="007F6E21">
        <w:rPr>
          <w:b/>
          <w:sz w:val="28"/>
          <w:szCs w:val="28"/>
        </w:rPr>
        <w:t>Вашият принос може да бъде под формата на:</w:t>
      </w:r>
    </w:p>
    <w:p w:rsidR="007F6E21" w:rsidRPr="007F6E21" w:rsidRDefault="007F6E21" w:rsidP="007F6E21">
      <w:pPr>
        <w:jc w:val="both"/>
        <w:rPr>
          <w:b/>
          <w:sz w:val="28"/>
          <w:szCs w:val="28"/>
        </w:rPr>
      </w:pPr>
    </w:p>
    <w:p w:rsidR="007F6E21" w:rsidRPr="007F6E21" w:rsidRDefault="007F6E21" w:rsidP="007F6E21">
      <w:pPr>
        <w:jc w:val="both"/>
        <w:rPr>
          <w:sz w:val="28"/>
          <w:szCs w:val="28"/>
        </w:rPr>
      </w:pPr>
      <w:r w:rsidRPr="007F6E21">
        <w:rPr>
          <w:b/>
          <w:sz w:val="28"/>
          <w:szCs w:val="28"/>
        </w:rPr>
        <w:t xml:space="preserve">i) </w:t>
      </w:r>
      <w:r w:rsidRPr="007F6E21">
        <w:rPr>
          <w:b/>
          <w:sz w:val="28"/>
          <w:szCs w:val="28"/>
        </w:rPr>
        <w:tab/>
      </w:r>
      <w:proofErr w:type="gramStart"/>
      <w:r w:rsidRPr="007F6E21">
        <w:rPr>
          <w:b/>
          <w:sz w:val="28"/>
          <w:szCs w:val="28"/>
        </w:rPr>
        <w:t>текст</w:t>
      </w:r>
      <w:proofErr w:type="gramEnd"/>
      <w:r w:rsidRPr="007F6E21">
        <w:rPr>
          <w:b/>
          <w:sz w:val="28"/>
          <w:szCs w:val="28"/>
        </w:rPr>
        <w:t xml:space="preserve"> от около 800 думи относно прилагането на политиките в областта на грижите за децата във Вашите градове/региони и Вашите политически възгледи по въпроса защо политиките в областта на грижите за децата са важни </w:t>
      </w:r>
      <w:r w:rsidRPr="007F6E21">
        <w:rPr>
          <w:sz w:val="28"/>
          <w:szCs w:val="28"/>
        </w:rPr>
        <w:t>(би било чудесно, ако можете да ни изпратите снимки или видеоматериали, приложени към Вашия текст);</w:t>
      </w:r>
    </w:p>
    <w:p w:rsidR="007F6E21" w:rsidRPr="007F6E21" w:rsidRDefault="007F6E21" w:rsidP="007F6E21">
      <w:pPr>
        <w:jc w:val="both"/>
        <w:rPr>
          <w:sz w:val="28"/>
          <w:szCs w:val="28"/>
        </w:rPr>
      </w:pPr>
      <w:proofErr w:type="gramStart"/>
      <w:r w:rsidRPr="007F6E21">
        <w:rPr>
          <w:sz w:val="28"/>
          <w:szCs w:val="28"/>
        </w:rPr>
        <w:t>и/или</w:t>
      </w:r>
      <w:proofErr w:type="gramEnd"/>
    </w:p>
    <w:p w:rsidR="007F6E21" w:rsidRPr="007F6E21" w:rsidRDefault="007F6E21" w:rsidP="007F6E21">
      <w:pPr>
        <w:jc w:val="both"/>
        <w:rPr>
          <w:b/>
          <w:sz w:val="28"/>
          <w:szCs w:val="28"/>
        </w:rPr>
      </w:pPr>
    </w:p>
    <w:p w:rsidR="007F6E21" w:rsidRPr="007F6E21" w:rsidRDefault="007F6E21" w:rsidP="007F6E21">
      <w:pPr>
        <w:jc w:val="both"/>
        <w:rPr>
          <w:sz w:val="28"/>
          <w:szCs w:val="28"/>
        </w:rPr>
      </w:pPr>
      <w:r w:rsidRPr="007F6E21">
        <w:rPr>
          <w:b/>
          <w:sz w:val="28"/>
          <w:szCs w:val="28"/>
        </w:rPr>
        <w:t xml:space="preserve">ii) </w:t>
      </w:r>
      <w:r w:rsidRPr="007F6E21">
        <w:rPr>
          <w:b/>
          <w:sz w:val="28"/>
          <w:szCs w:val="28"/>
        </w:rPr>
        <w:tab/>
      </w:r>
      <w:proofErr w:type="gramStart"/>
      <w:r w:rsidRPr="007F6E21">
        <w:rPr>
          <w:b/>
          <w:sz w:val="28"/>
          <w:szCs w:val="28"/>
        </w:rPr>
        <w:t>отговор</w:t>
      </w:r>
      <w:proofErr w:type="gramEnd"/>
      <w:r w:rsidRPr="007F6E21">
        <w:rPr>
          <w:b/>
          <w:sz w:val="28"/>
          <w:szCs w:val="28"/>
        </w:rPr>
        <w:t xml:space="preserve"> на въпросника, който може да бъде намерен </w:t>
      </w:r>
      <w:r w:rsidRPr="007F6E21">
        <w:rPr>
          <w:b/>
          <w:sz w:val="28"/>
          <w:szCs w:val="28"/>
          <w:u w:val="single"/>
        </w:rPr>
        <w:t>тук</w:t>
      </w:r>
      <w:r w:rsidRPr="007F6E21">
        <w:rPr>
          <w:b/>
          <w:sz w:val="28"/>
          <w:szCs w:val="28"/>
        </w:rPr>
        <w:t>.</w:t>
      </w:r>
    </w:p>
    <w:p w:rsidR="007F6E21" w:rsidRPr="007F6E21" w:rsidRDefault="007F6E21" w:rsidP="007F6E21">
      <w:pPr>
        <w:jc w:val="both"/>
        <w:rPr>
          <w:sz w:val="28"/>
          <w:szCs w:val="28"/>
        </w:rPr>
      </w:pPr>
      <w:r w:rsidRPr="007F6E21">
        <w:rPr>
          <w:sz w:val="28"/>
          <w:szCs w:val="28"/>
        </w:rPr>
        <w:t>Ще Ви бъдем много признателни, ако изпратите Вашия принос до края на април 2021 г.</w:t>
      </w:r>
    </w:p>
    <w:p w:rsidR="007F6E21" w:rsidRPr="007F6E21" w:rsidRDefault="007F6E21" w:rsidP="007F6E21">
      <w:pPr>
        <w:jc w:val="both"/>
        <w:rPr>
          <w:b/>
          <w:sz w:val="28"/>
          <w:szCs w:val="28"/>
        </w:rPr>
      </w:pPr>
    </w:p>
    <w:p w:rsidR="007F6E21" w:rsidRPr="007F6E21" w:rsidRDefault="007F6E21" w:rsidP="007F6E21">
      <w:pPr>
        <w:jc w:val="both"/>
        <w:rPr>
          <w:rStyle w:val="Hyperlink"/>
          <w:sz w:val="28"/>
          <w:szCs w:val="28"/>
        </w:rPr>
      </w:pPr>
      <w:r w:rsidRPr="007F6E21">
        <w:rPr>
          <w:sz w:val="28"/>
          <w:szCs w:val="28"/>
        </w:rPr>
        <w:t xml:space="preserve">Ако имате въпроси, не се колебайте да ни пишете на адрес </w:t>
      </w:r>
      <w:hyperlink r:id="rId9" w:history="1">
        <w:r w:rsidRPr="007F6E21">
          <w:rPr>
            <w:rStyle w:val="Hyperlink"/>
            <w:sz w:val="28"/>
            <w:szCs w:val="28"/>
          </w:rPr>
          <w:t>PES-Group@cor.europa.eu</w:t>
        </w:r>
      </w:hyperlink>
      <w:r w:rsidRPr="007F6E21">
        <w:rPr>
          <w:sz w:val="28"/>
          <w:szCs w:val="28"/>
        </w:rPr>
        <w:t>.</w:t>
      </w:r>
    </w:p>
    <w:p w:rsidR="00E11EA9" w:rsidRPr="007F6E21" w:rsidRDefault="00E11EA9" w:rsidP="0062605C">
      <w:pPr>
        <w:rPr>
          <w:sz w:val="28"/>
          <w:szCs w:val="28"/>
        </w:rPr>
      </w:pPr>
    </w:p>
    <w:p w:rsidR="00E11EA9" w:rsidRPr="007F6E21" w:rsidRDefault="00E11EA9" w:rsidP="0062605C">
      <w:pPr>
        <w:rPr>
          <w:sz w:val="28"/>
          <w:szCs w:val="28"/>
        </w:rPr>
      </w:pPr>
    </w:p>
    <w:p w:rsidR="007F6E21" w:rsidRPr="007F6E21" w:rsidRDefault="007F6E21" w:rsidP="007F6E21">
      <w:pPr>
        <w:jc w:val="center"/>
        <w:rPr>
          <w:b/>
          <w:bCs/>
          <w:sz w:val="28"/>
          <w:szCs w:val="28"/>
        </w:rPr>
      </w:pPr>
      <w:r w:rsidRPr="007F6E21">
        <w:rPr>
          <w:b/>
          <w:bCs/>
          <w:noProof/>
          <w:sz w:val="28"/>
          <w:szCs w:val="28"/>
        </w:rPr>
        <mc:AlternateContent>
          <mc:Choice Requires="wps">
            <w:drawing>
              <wp:anchor distT="0" distB="0" distL="114300" distR="114300" simplePos="0" relativeHeight="251661312" behindDoc="1" locked="0" layoutInCell="0" allowOverlap="1" wp14:anchorId="481B2E18" wp14:editId="55C42A6E">
                <wp:simplePos x="0" y="0"/>
                <wp:positionH relativeFrom="page">
                  <wp:posOffset>6769100</wp:posOffset>
                </wp:positionH>
                <wp:positionV relativeFrom="page">
                  <wp:posOffset>10081260</wp:posOffset>
                </wp:positionV>
                <wp:extent cx="647700" cy="396240"/>
                <wp:effectExtent l="0" t="3810" r="317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E21" w:rsidRPr="00260E65" w:rsidRDefault="007F6E21" w:rsidP="007F6E21">
                            <w:pPr>
                              <w:jc w:val="center"/>
                              <w:rPr>
                                <w:b/>
                                <w:bCs/>
                                <w:sz w:val="4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2E18" id="_x0000_s1027" type="#_x0000_t202"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XjuAIAAMA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" o:allowincell="f" filled="f" stroked="f">
                <v:textbox>
                  <w:txbxContent>
                    <w:p w:rsidR="007F6E21" w:rsidRPr="00260E65" w:rsidRDefault="007F6E21" w:rsidP="007F6E21">
                      <w:pPr>
                        <w:jc w:val="center"/>
                        <w:rPr>
                          <w:b/>
                          <w:bCs/>
                          <w:sz w:val="48"/>
                        </w:rPr>
                      </w:pPr>
                      <w:bookmarkStart w:id="1" w:name="_GoBack"/>
                      <w:bookmarkEnd w:id="1"/>
                    </w:p>
                  </w:txbxContent>
                </v:textbox>
                <w10:wrap anchorx="page" anchory="page"/>
              </v:shape>
            </w:pict>
          </mc:Fallback>
        </mc:AlternateContent>
      </w:r>
    </w:p>
    <w:p w:rsidR="007F6E21" w:rsidRPr="007F6E21" w:rsidRDefault="007F6E21" w:rsidP="007F6E21">
      <w:pPr>
        <w:rPr>
          <w:b/>
          <w:bCs/>
          <w:sz w:val="28"/>
          <w:szCs w:val="28"/>
        </w:rPr>
      </w:pPr>
      <w:r w:rsidRPr="007F6E21">
        <w:rPr>
          <w:b/>
          <w:bCs/>
          <w:color w:val="FF0000"/>
          <w:sz w:val="28"/>
          <w:szCs w:val="28"/>
        </w:rPr>
        <w:t>ВЪПРОСНИК</w:t>
      </w:r>
    </w:p>
    <w:p w:rsidR="007F6E21" w:rsidRPr="007F6E21" w:rsidRDefault="007F6E21" w:rsidP="007F6E21">
      <w:pPr>
        <w:rPr>
          <w:sz w:val="28"/>
          <w:szCs w:val="28"/>
        </w:rPr>
      </w:pP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Име:</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Представляван град, регион, местно управление :</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Държава:</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Роля или политическа функция:</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Колко голям е представляваният град, регион, местно управление (</w:t>
      </w:r>
      <w:r w:rsidRPr="007F6E21">
        <w:rPr>
          <w:i/>
          <w:iCs/>
          <w:sz w:val="28"/>
          <w:szCs w:val="28"/>
        </w:rPr>
        <w:t>население</w:t>
      </w:r>
      <w:r w:rsidRPr="007F6E21">
        <w:rPr>
          <w:sz w:val="28"/>
          <w:szCs w:val="28"/>
        </w:rPr>
        <w:t>):</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Посочете процента на домакинствата в неравностойно положение на вашата територия, а от тях — процента на засегнатите деца:</w:t>
      </w:r>
    </w:p>
    <w:p w:rsidR="007F6E21" w:rsidRPr="007F6E21" w:rsidRDefault="007F6E21" w:rsidP="007F6E21">
      <w:pPr>
        <w:ind w:firstLine="360"/>
        <w:rPr>
          <w:i/>
          <w:iCs/>
          <w:sz w:val="28"/>
          <w:szCs w:val="28"/>
        </w:rPr>
      </w:pPr>
      <w:r w:rsidRPr="007F6E21">
        <w:rPr>
          <w:i/>
          <w:iCs/>
          <w:sz w:val="28"/>
          <w:szCs w:val="28"/>
        </w:rPr>
        <w:t>(Неравностойно положение напр. по-ниски доходи/безработица в съответствие с националните показатели)</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Посочете % на многообразието на Вашата територия:</w:t>
      </w:r>
    </w:p>
    <w:p w:rsidR="007F6E21" w:rsidRPr="007F6E21" w:rsidRDefault="007F6E21" w:rsidP="007F6E21">
      <w:pPr>
        <w:pStyle w:val="ListParagraph"/>
        <w:ind w:left="360"/>
        <w:rPr>
          <w:i/>
          <w:iCs/>
          <w:sz w:val="28"/>
          <w:szCs w:val="28"/>
        </w:rPr>
      </w:pPr>
      <w:r w:rsidRPr="007F6E21">
        <w:rPr>
          <w:i/>
          <w:iCs/>
          <w:sz w:val="28"/>
          <w:szCs w:val="28"/>
        </w:rPr>
        <w:t>(Домакинства с имигрантски произход)</w:t>
      </w:r>
    </w:p>
    <w:p w:rsidR="007F6E21" w:rsidRPr="007F6E21" w:rsidRDefault="007F6E21" w:rsidP="007F6E21">
      <w:pPr>
        <w:pStyle w:val="ListParagraph"/>
        <w:ind w:left="360"/>
        <w:rPr>
          <w:b/>
          <w:bCs/>
          <w:sz w:val="28"/>
          <w:szCs w:val="28"/>
        </w:rPr>
      </w:pPr>
    </w:p>
    <w:p w:rsidR="007F6E21" w:rsidRPr="007F6E21" w:rsidRDefault="007F6E21" w:rsidP="007F6E21">
      <w:pPr>
        <w:rPr>
          <w:b/>
          <w:bCs/>
          <w:sz w:val="28"/>
          <w:szCs w:val="28"/>
        </w:rPr>
      </w:pPr>
      <w:r w:rsidRPr="007F6E21">
        <w:rPr>
          <w:b/>
          <w:bCs/>
          <w:sz w:val="28"/>
          <w:szCs w:val="28"/>
        </w:rPr>
        <w:t>Общи мерки за борба с бедността сред родителите/настойниците като средство за борба с детската бедност</w:t>
      </w:r>
    </w:p>
    <w:p w:rsidR="007F6E21" w:rsidRPr="007F6E21" w:rsidRDefault="007F6E21" w:rsidP="007F6E21">
      <w:pPr>
        <w:pStyle w:val="ListParagraph"/>
        <w:numPr>
          <w:ilvl w:val="0"/>
          <w:numId w:val="15"/>
        </w:numPr>
        <w:spacing w:line="240" w:lineRule="auto"/>
        <w:ind w:left="426" w:hanging="426"/>
        <w:rPr>
          <w:sz w:val="28"/>
          <w:szCs w:val="28"/>
        </w:rPr>
      </w:pPr>
      <w:r w:rsidRPr="007F6E21">
        <w:rPr>
          <w:sz w:val="28"/>
          <w:szCs w:val="28"/>
        </w:rPr>
        <w:t>Посочете общите мерки, прилагани на Вашата територия, за подпомагане на домакинства в неравностойно положение (напр. подпомагане на доходите, жилищно настаняване, достъп до здравеопазване и др.)</w:t>
      </w:r>
    </w:p>
    <w:p w:rsidR="007F6E21" w:rsidRPr="007F6E21" w:rsidRDefault="007F6E21" w:rsidP="007F6E21">
      <w:pPr>
        <w:pStyle w:val="ListParagraph"/>
        <w:numPr>
          <w:ilvl w:val="0"/>
          <w:numId w:val="15"/>
        </w:numPr>
        <w:spacing w:line="240" w:lineRule="auto"/>
        <w:ind w:left="426" w:hanging="426"/>
        <w:rPr>
          <w:sz w:val="28"/>
          <w:szCs w:val="28"/>
        </w:rPr>
      </w:pPr>
      <w:r w:rsidRPr="007F6E21">
        <w:rPr>
          <w:sz w:val="28"/>
          <w:szCs w:val="28"/>
        </w:rPr>
        <w:t>Посочете дали за домакинствата в неравностойно положение с деца важат специфични мерки</w:t>
      </w:r>
    </w:p>
    <w:p w:rsidR="007F6E21" w:rsidRPr="007F6E21" w:rsidRDefault="007F6E21" w:rsidP="007F6E21">
      <w:pPr>
        <w:rPr>
          <w:b/>
          <w:bCs/>
          <w:sz w:val="28"/>
          <w:szCs w:val="28"/>
        </w:rPr>
      </w:pPr>
    </w:p>
    <w:p w:rsidR="007F6E21" w:rsidRPr="007F6E21" w:rsidRDefault="007F6E21" w:rsidP="007F6E21">
      <w:pPr>
        <w:rPr>
          <w:b/>
          <w:bCs/>
          <w:sz w:val="28"/>
          <w:szCs w:val="28"/>
        </w:rPr>
      </w:pPr>
      <w:r w:rsidRPr="007F6E21">
        <w:rPr>
          <w:b/>
          <w:bCs/>
          <w:sz w:val="28"/>
          <w:szCs w:val="28"/>
        </w:rPr>
        <w:t>Образование и грижи в ранна детска възраст (ОГРДВ):</w:t>
      </w:r>
    </w:p>
    <w:p w:rsidR="007F6E21" w:rsidRPr="007F6E21" w:rsidRDefault="007F6E21" w:rsidP="007F6E21">
      <w:pPr>
        <w:rPr>
          <w:b/>
          <w:bCs/>
          <w:sz w:val="28"/>
          <w:szCs w:val="28"/>
        </w:rPr>
      </w:pPr>
    </w:p>
    <w:p w:rsidR="007F6E21" w:rsidRPr="007F6E21" w:rsidRDefault="007F6E21" w:rsidP="007F6E21">
      <w:pPr>
        <w:pStyle w:val="ListParagraph"/>
        <w:numPr>
          <w:ilvl w:val="0"/>
          <w:numId w:val="15"/>
        </w:numPr>
        <w:spacing w:line="240" w:lineRule="auto"/>
        <w:ind w:left="426" w:hanging="426"/>
        <w:rPr>
          <w:i/>
          <w:iCs/>
          <w:sz w:val="28"/>
          <w:szCs w:val="28"/>
        </w:rPr>
      </w:pPr>
      <w:proofErr w:type="gramStart"/>
      <w:r w:rsidRPr="007F6E21">
        <w:rPr>
          <w:sz w:val="28"/>
          <w:szCs w:val="28"/>
        </w:rPr>
        <w:lastRenderedPageBreak/>
        <w:t>%</w:t>
      </w:r>
      <w:proofErr w:type="gramEnd"/>
      <w:r w:rsidRPr="007F6E21">
        <w:rPr>
          <w:sz w:val="28"/>
          <w:szCs w:val="28"/>
        </w:rPr>
        <w:t xml:space="preserve"> от децата на възраст под 3 години, записани в програми за ОГРДВ (</w:t>
      </w:r>
      <w:r w:rsidRPr="007F6E21">
        <w:rPr>
          <w:i/>
          <w:iCs/>
          <w:sz w:val="28"/>
          <w:szCs w:val="28"/>
        </w:rPr>
        <w:t>напр. ясли, детски градини и др.</w:t>
      </w:r>
      <w:r w:rsidRPr="007F6E21">
        <w:rPr>
          <w:sz w:val="28"/>
          <w:szCs w:val="28"/>
        </w:rPr>
        <w:t>):</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Сред записаните деца % в</w:t>
      </w:r>
    </w:p>
    <w:p w:rsidR="007F6E21" w:rsidRPr="007F6E21" w:rsidRDefault="007F6E21" w:rsidP="007F6E21">
      <w:pPr>
        <w:pStyle w:val="ListParagraph"/>
        <w:numPr>
          <w:ilvl w:val="0"/>
          <w:numId w:val="16"/>
        </w:numPr>
        <w:spacing w:line="240" w:lineRule="auto"/>
        <w:rPr>
          <w:sz w:val="28"/>
          <w:szCs w:val="28"/>
        </w:rPr>
      </w:pPr>
      <w:r w:rsidRPr="007F6E21">
        <w:rPr>
          <w:sz w:val="28"/>
          <w:szCs w:val="28"/>
        </w:rPr>
        <w:t>Обществени услуги (</w:t>
      </w:r>
      <w:r w:rsidRPr="007F6E21">
        <w:rPr>
          <w:i/>
          <w:iCs/>
          <w:sz w:val="28"/>
          <w:szCs w:val="28"/>
        </w:rPr>
        <w:t>пряко управлявани от местни органи или управление, предоставено на организация с нестопанска цел, субсидирана от публичните власти</w:t>
      </w:r>
      <w:r w:rsidRPr="007F6E21">
        <w:rPr>
          <w:sz w:val="28"/>
          <w:szCs w:val="28"/>
        </w:rPr>
        <w:t>):</w:t>
      </w:r>
    </w:p>
    <w:p w:rsidR="007F6E21" w:rsidRPr="007F6E21" w:rsidRDefault="007F6E21" w:rsidP="007F6E21">
      <w:pPr>
        <w:pStyle w:val="ListParagraph"/>
        <w:numPr>
          <w:ilvl w:val="0"/>
          <w:numId w:val="16"/>
        </w:numPr>
        <w:spacing w:line="240" w:lineRule="auto"/>
        <w:rPr>
          <w:sz w:val="28"/>
          <w:szCs w:val="28"/>
        </w:rPr>
      </w:pPr>
      <w:r w:rsidRPr="007F6E21">
        <w:rPr>
          <w:sz w:val="28"/>
          <w:szCs w:val="28"/>
        </w:rPr>
        <w:t>Частни услуги (</w:t>
      </w:r>
      <w:r w:rsidRPr="007F6E21">
        <w:rPr>
          <w:i/>
          <w:iCs/>
          <w:sz w:val="28"/>
          <w:szCs w:val="28"/>
        </w:rPr>
        <w:t>тарифи, определяни свободно от институцията с цел печалба, без публично участие</w:t>
      </w:r>
      <w:r w:rsidRPr="007F6E21">
        <w:rPr>
          <w:sz w:val="28"/>
          <w:szCs w:val="28"/>
        </w:rPr>
        <w:t>)</w:t>
      </w:r>
    </w:p>
    <w:p w:rsidR="007F6E21" w:rsidRPr="007F6E21" w:rsidRDefault="007F6E21" w:rsidP="007F6E21">
      <w:pPr>
        <w:pStyle w:val="ListParagraph"/>
        <w:numPr>
          <w:ilvl w:val="0"/>
          <w:numId w:val="16"/>
        </w:numPr>
        <w:spacing w:line="240" w:lineRule="auto"/>
        <w:rPr>
          <w:sz w:val="28"/>
          <w:szCs w:val="28"/>
        </w:rPr>
      </w:pPr>
      <w:r w:rsidRPr="007F6E21">
        <w:rPr>
          <w:sz w:val="28"/>
          <w:szCs w:val="28"/>
        </w:rPr>
        <w:t>Система за смесено финансиране (</w:t>
      </w:r>
      <w:r w:rsidRPr="007F6E21">
        <w:rPr>
          <w:i/>
          <w:iCs/>
          <w:sz w:val="28"/>
          <w:szCs w:val="28"/>
        </w:rPr>
        <w:t>частни организации със стопанска цел, които получават финансова подкрепа пряко от обществеността или непряко, например семействата получават ваучери</w:t>
      </w:r>
      <w:r w:rsidRPr="007F6E21">
        <w:rPr>
          <w:sz w:val="28"/>
          <w:szCs w:val="28"/>
        </w:rPr>
        <w:t>)</w:t>
      </w:r>
    </w:p>
    <w:p w:rsidR="007F6E21" w:rsidRPr="007F6E21" w:rsidRDefault="007F6E21" w:rsidP="007F6E21">
      <w:pPr>
        <w:pStyle w:val="ListParagraph"/>
        <w:numPr>
          <w:ilvl w:val="0"/>
          <w:numId w:val="15"/>
        </w:numPr>
        <w:spacing w:line="240" w:lineRule="auto"/>
        <w:ind w:left="284" w:hanging="284"/>
        <w:rPr>
          <w:rFonts w:eastAsia="Times New Roman"/>
          <w:sz w:val="28"/>
          <w:szCs w:val="28"/>
        </w:rPr>
      </w:pPr>
      <w:r w:rsidRPr="007F6E21">
        <w:rPr>
          <w:sz w:val="28"/>
          <w:szCs w:val="28"/>
        </w:rPr>
        <w:t>Как гарантирате равен достъп до ОГРДВ за деца на възраст под 3 години (</w:t>
      </w:r>
      <w:r w:rsidRPr="007F6E21">
        <w:rPr>
          <w:i/>
          <w:iCs/>
          <w:sz w:val="28"/>
          <w:szCs w:val="28"/>
        </w:rPr>
        <w:t>повече от един отговор</w:t>
      </w:r>
      <w:r w:rsidRPr="007F6E21">
        <w:rPr>
          <w:sz w:val="28"/>
          <w:szCs w:val="28"/>
        </w:rPr>
        <w:t>)?</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Прогресивни такси (</w:t>
      </w:r>
      <w:r w:rsidRPr="007F6E21">
        <w:rPr>
          <w:i/>
          <w:iCs/>
          <w:sz w:val="28"/>
          <w:szCs w:val="28"/>
        </w:rPr>
        <w:t>родителите плащат в зависимост от доходите си</w:t>
      </w:r>
      <w:r w:rsidRPr="007F6E21">
        <w:rPr>
          <w:sz w:val="28"/>
          <w:szCs w:val="28"/>
        </w:rPr>
        <w:t>)</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Съоръжения/услуги в необлагодетелствани райони (</w:t>
      </w:r>
      <w:r w:rsidRPr="007F6E21">
        <w:rPr>
          <w:i/>
          <w:iCs/>
          <w:sz w:val="28"/>
          <w:szCs w:val="28"/>
        </w:rPr>
        <w:t>където живеят домакинства в неравностойно положение</w:t>
      </w:r>
      <w:r w:rsidRPr="007F6E21">
        <w:rPr>
          <w:sz w:val="28"/>
          <w:szCs w:val="28"/>
        </w:rPr>
        <w:t>)</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Безплатни услуги (</w:t>
      </w:r>
      <w:r w:rsidRPr="007F6E21">
        <w:rPr>
          <w:i/>
          <w:iCs/>
          <w:sz w:val="28"/>
          <w:szCs w:val="28"/>
        </w:rPr>
        <w:t>за домакинства в неравностойно положение или за всички семейства в продължение на една или повече години</w:t>
      </w:r>
      <w:r w:rsidRPr="007F6E21">
        <w:rPr>
          <w:sz w:val="28"/>
          <w:szCs w:val="28"/>
        </w:rPr>
        <w:t>)</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Предимство за деца в неравностойно положение (</w:t>
      </w:r>
      <w:r w:rsidRPr="007F6E21">
        <w:rPr>
          <w:i/>
          <w:iCs/>
          <w:sz w:val="28"/>
          <w:szCs w:val="28"/>
        </w:rPr>
        <w:t>критерии за записване, даващи предимство например на самотни родители, безработни или търсещи работа</w:t>
      </w:r>
      <w:r w:rsidRPr="007F6E21">
        <w:rPr>
          <w:sz w:val="28"/>
          <w:szCs w:val="28"/>
        </w:rPr>
        <w:t>)</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Повишаване на осведомеността сред родителите в неравностойно положение относно значението на ОГРДВ</w:t>
      </w:r>
    </w:p>
    <w:p w:rsidR="007F6E21" w:rsidRPr="007F6E21" w:rsidRDefault="007F6E21" w:rsidP="007F6E21">
      <w:pPr>
        <w:numPr>
          <w:ilvl w:val="1"/>
          <w:numId w:val="14"/>
        </w:numPr>
        <w:spacing w:line="240" w:lineRule="auto"/>
        <w:ind w:left="1080"/>
        <w:rPr>
          <w:rFonts w:eastAsia="Times New Roman"/>
          <w:sz w:val="28"/>
          <w:szCs w:val="28"/>
        </w:rPr>
      </w:pPr>
      <w:r w:rsidRPr="007F6E21">
        <w:rPr>
          <w:sz w:val="28"/>
          <w:szCs w:val="28"/>
        </w:rPr>
        <w:t>Друго (</w:t>
      </w:r>
      <w:r w:rsidRPr="007F6E21">
        <w:rPr>
          <w:i/>
          <w:iCs/>
          <w:sz w:val="28"/>
          <w:szCs w:val="28"/>
        </w:rPr>
        <w:t>посочете</w:t>
      </w:r>
      <w:r w:rsidRPr="007F6E21">
        <w:rPr>
          <w:sz w:val="28"/>
          <w:szCs w:val="28"/>
        </w:rPr>
        <w:t>)</w:t>
      </w:r>
    </w:p>
    <w:p w:rsidR="007F6E21" w:rsidRPr="007F6E21" w:rsidRDefault="007F6E21" w:rsidP="007F6E21">
      <w:pPr>
        <w:pStyle w:val="ListParagraph"/>
        <w:numPr>
          <w:ilvl w:val="0"/>
          <w:numId w:val="15"/>
        </w:numPr>
        <w:spacing w:line="240" w:lineRule="auto"/>
        <w:ind w:left="360"/>
        <w:rPr>
          <w:sz w:val="28"/>
          <w:szCs w:val="28"/>
        </w:rPr>
      </w:pPr>
      <w:r w:rsidRPr="007F6E21">
        <w:rPr>
          <w:sz w:val="28"/>
          <w:szCs w:val="28"/>
        </w:rPr>
        <w:t>Какво е основното предизвикателство, пред което сте изправени, за да гарантирате равен достъп до ОГРДВ на възраст под 3 години (</w:t>
      </w:r>
      <w:r w:rsidRPr="007F6E21">
        <w:rPr>
          <w:i/>
          <w:iCs/>
          <w:sz w:val="28"/>
          <w:szCs w:val="28"/>
        </w:rPr>
        <w:t>повече от един отговор</w:t>
      </w:r>
      <w:r w:rsidRPr="007F6E21">
        <w:rPr>
          <w:sz w:val="28"/>
          <w:szCs w:val="28"/>
        </w:rPr>
        <w:t>)?</w:t>
      </w:r>
    </w:p>
    <w:p w:rsidR="007F6E21" w:rsidRPr="007F6E21" w:rsidRDefault="007F6E21" w:rsidP="007F6E21">
      <w:pPr>
        <w:pStyle w:val="ListParagraph"/>
        <w:numPr>
          <w:ilvl w:val="1"/>
          <w:numId w:val="15"/>
        </w:numPr>
        <w:spacing w:line="240" w:lineRule="auto"/>
        <w:ind w:left="1134" w:hanging="425"/>
        <w:rPr>
          <w:rFonts w:eastAsia="Times New Roman"/>
          <w:sz w:val="28"/>
          <w:szCs w:val="28"/>
        </w:rPr>
      </w:pPr>
      <w:r w:rsidRPr="007F6E21">
        <w:rPr>
          <w:sz w:val="28"/>
          <w:szCs w:val="28"/>
        </w:rPr>
        <w:t>Липса на подходящо финансиране (</w:t>
      </w:r>
      <w:r w:rsidRPr="007F6E21">
        <w:rPr>
          <w:i/>
          <w:iCs/>
          <w:sz w:val="28"/>
          <w:szCs w:val="28"/>
        </w:rPr>
        <w:t>от собствени ресурси и ограничени трансфери от централното държавно управление, възпрепятстване на изграждането на структури и/или намаляване на финансовите вноски на семействата</w:t>
      </w:r>
      <w:r w:rsidRPr="007F6E21">
        <w:rPr>
          <w:sz w:val="28"/>
          <w:szCs w:val="28"/>
        </w:rPr>
        <w:t>)</w:t>
      </w:r>
    </w:p>
    <w:p w:rsidR="007F6E21" w:rsidRPr="007F6E21" w:rsidRDefault="007F6E21" w:rsidP="007F6E21">
      <w:pPr>
        <w:numPr>
          <w:ilvl w:val="1"/>
          <w:numId w:val="15"/>
        </w:numPr>
        <w:spacing w:line="240" w:lineRule="auto"/>
        <w:ind w:left="1134" w:hanging="425"/>
        <w:rPr>
          <w:rFonts w:eastAsia="Times New Roman"/>
          <w:sz w:val="28"/>
          <w:szCs w:val="28"/>
        </w:rPr>
      </w:pPr>
      <w:r w:rsidRPr="007F6E21">
        <w:rPr>
          <w:sz w:val="28"/>
          <w:szCs w:val="28"/>
        </w:rPr>
        <w:t>Критерии за отказ на достъп за семейства в неравностойно положение (</w:t>
      </w:r>
      <w:r w:rsidRPr="007F6E21">
        <w:rPr>
          <w:i/>
          <w:iCs/>
          <w:sz w:val="28"/>
          <w:szCs w:val="28"/>
        </w:rPr>
        <w:t>напр. места, запазени само за заети родители, езикови бариери за родители с мигрантски произход, близост и др.</w:t>
      </w:r>
      <w:r w:rsidRPr="007F6E21">
        <w:rPr>
          <w:sz w:val="28"/>
          <w:szCs w:val="28"/>
        </w:rPr>
        <w:t>)</w:t>
      </w:r>
    </w:p>
    <w:p w:rsidR="007F6E21" w:rsidRPr="007F6E21" w:rsidRDefault="007F6E21" w:rsidP="007F6E21">
      <w:pPr>
        <w:numPr>
          <w:ilvl w:val="1"/>
          <w:numId w:val="15"/>
        </w:numPr>
        <w:spacing w:line="240" w:lineRule="auto"/>
        <w:ind w:left="1134" w:hanging="425"/>
        <w:rPr>
          <w:rFonts w:eastAsia="Times New Roman"/>
          <w:sz w:val="28"/>
          <w:szCs w:val="28"/>
        </w:rPr>
      </w:pPr>
      <w:r w:rsidRPr="007F6E21">
        <w:rPr>
          <w:sz w:val="28"/>
          <w:szCs w:val="28"/>
        </w:rPr>
        <w:t>Липса на осведоменост сред семействата в неравностойно положение относно значението на ОГРДВ</w:t>
      </w:r>
    </w:p>
    <w:p w:rsidR="007F6E21" w:rsidRPr="007F6E21" w:rsidRDefault="007F6E21" w:rsidP="007F6E21">
      <w:pPr>
        <w:numPr>
          <w:ilvl w:val="1"/>
          <w:numId w:val="15"/>
        </w:numPr>
        <w:spacing w:line="240" w:lineRule="auto"/>
        <w:ind w:left="1134" w:hanging="425"/>
        <w:rPr>
          <w:rFonts w:eastAsia="Times New Roman"/>
          <w:sz w:val="28"/>
          <w:szCs w:val="28"/>
        </w:rPr>
      </w:pPr>
      <w:r w:rsidRPr="007F6E21">
        <w:rPr>
          <w:sz w:val="28"/>
          <w:szCs w:val="28"/>
        </w:rPr>
        <w:lastRenderedPageBreak/>
        <w:t>Друго (</w:t>
      </w:r>
      <w:r w:rsidRPr="007F6E21">
        <w:rPr>
          <w:i/>
          <w:iCs/>
          <w:sz w:val="28"/>
          <w:szCs w:val="28"/>
        </w:rPr>
        <w:t>посочете</w:t>
      </w:r>
      <w:r w:rsidRPr="007F6E21">
        <w:rPr>
          <w:sz w:val="28"/>
          <w:szCs w:val="28"/>
        </w:rPr>
        <w:t>)</w:t>
      </w:r>
    </w:p>
    <w:p w:rsidR="007F6E21" w:rsidRPr="007F6E21" w:rsidRDefault="007F6E21" w:rsidP="007F6E21">
      <w:pPr>
        <w:rPr>
          <w:rFonts w:eastAsia="Times New Roman"/>
          <w:sz w:val="28"/>
          <w:szCs w:val="28"/>
        </w:rPr>
      </w:pPr>
    </w:p>
    <w:p w:rsidR="007F6E21" w:rsidRPr="007F6E21" w:rsidRDefault="007F6E21" w:rsidP="007F6E21">
      <w:pPr>
        <w:keepNext/>
        <w:rPr>
          <w:rFonts w:eastAsia="Times New Roman"/>
          <w:b/>
          <w:bCs/>
          <w:sz w:val="28"/>
          <w:szCs w:val="28"/>
        </w:rPr>
      </w:pPr>
      <w:r w:rsidRPr="007F6E21">
        <w:rPr>
          <w:b/>
          <w:bCs/>
          <w:sz w:val="28"/>
          <w:szCs w:val="28"/>
        </w:rPr>
        <w:t xml:space="preserve">Въздействие на COVID-19 </w:t>
      </w:r>
    </w:p>
    <w:p w:rsidR="007F6E21" w:rsidRPr="007F6E21" w:rsidRDefault="007F6E21" w:rsidP="007F6E21">
      <w:pPr>
        <w:keepNext/>
        <w:rPr>
          <w:rFonts w:eastAsia="Times New Roman"/>
          <w:sz w:val="28"/>
          <w:szCs w:val="28"/>
        </w:rPr>
      </w:pPr>
    </w:p>
    <w:p w:rsidR="007F6E21" w:rsidRPr="007F6E21" w:rsidRDefault="007F6E21" w:rsidP="007F6E21">
      <w:pPr>
        <w:pStyle w:val="ListParagraph"/>
        <w:keepNext/>
        <w:numPr>
          <w:ilvl w:val="0"/>
          <w:numId w:val="15"/>
        </w:numPr>
        <w:spacing w:line="240" w:lineRule="auto"/>
        <w:ind w:left="426" w:hanging="426"/>
        <w:rPr>
          <w:rFonts w:eastAsia="Times New Roman"/>
          <w:sz w:val="28"/>
          <w:szCs w:val="28"/>
        </w:rPr>
      </w:pPr>
      <w:r w:rsidRPr="007F6E21">
        <w:rPr>
          <w:sz w:val="28"/>
          <w:szCs w:val="28"/>
        </w:rPr>
        <w:t>Как се отрази кризата вследствие на COVID-19 на способността Ви да предоставяте ОГРДВ за деца на възраст под 3 години (</w:t>
      </w:r>
      <w:r w:rsidRPr="007F6E21">
        <w:rPr>
          <w:i/>
          <w:iCs/>
          <w:sz w:val="28"/>
          <w:szCs w:val="28"/>
        </w:rPr>
        <w:t>повече от един отговор</w:t>
      </w:r>
      <w:r w:rsidRPr="007F6E21">
        <w:rPr>
          <w:sz w:val="28"/>
          <w:szCs w:val="28"/>
        </w:rPr>
        <w:t>)?</w:t>
      </w:r>
    </w:p>
    <w:p w:rsidR="007F6E21" w:rsidRPr="007F6E21" w:rsidRDefault="007F6E21" w:rsidP="007F6E21">
      <w:pPr>
        <w:numPr>
          <w:ilvl w:val="0"/>
          <w:numId w:val="17"/>
        </w:numPr>
        <w:spacing w:line="240" w:lineRule="auto"/>
        <w:rPr>
          <w:rFonts w:eastAsia="Times New Roman"/>
          <w:sz w:val="28"/>
          <w:szCs w:val="28"/>
        </w:rPr>
      </w:pPr>
      <w:r w:rsidRPr="007F6E21">
        <w:rPr>
          <w:sz w:val="28"/>
          <w:szCs w:val="28"/>
        </w:rPr>
        <w:t>Намаляване на средствата/дефинансиране от централното държавно управление и собствените ресурси (местни данъци)/намаляване на услугите и местата</w:t>
      </w:r>
    </w:p>
    <w:p w:rsidR="007F6E21" w:rsidRPr="007F6E21" w:rsidRDefault="007F6E21" w:rsidP="007F6E21">
      <w:pPr>
        <w:numPr>
          <w:ilvl w:val="0"/>
          <w:numId w:val="17"/>
        </w:numPr>
        <w:spacing w:line="240" w:lineRule="auto"/>
        <w:rPr>
          <w:rFonts w:eastAsia="Times New Roman"/>
          <w:sz w:val="28"/>
          <w:szCs w:val="28"/>
        </w:rPr>
      </w:pPr>
      <w:r w:rsidRPr="007F6E21">
        <w:rPr>
          <w:sz w:val="28"/>
          <w:szCs w:val="28"/>
        </w:rPr>
        <w:t>Намаляване на търсенето поради финансови затруднения на домакинствата и общо нарастване на безработицата</w:t>
      </w:r>
    </w:p>
    <w:p w:rsidR="007F6E21" w:rsidRPr="007F6E21" w:rsidRDefault="007F6E21" w:rsidP="007F6E21">
      <w:pPr>
        <w:pStyle w:val="ListParagraph"/>
        <w:numPr>
          <w:ilvl w:val="0"/>
          <w:numId w:val="17"/>
        </w:numPr>
        <w:spacing w:line="240" w:lineRule="auto"/>
        <w:rPr>
          <w:rFonts w:eastAsia="Times New Roman"/>
          <w:sz w:val="28"/>
          <w:szCs w:val="28"/>
        </w:rPr>
      </w:pPr>
      <w:r w:rsidRPr="007F6E21">
        <w:rPr>
          <w:sz w:val="28"/>
          <w:szCs w:val="28"/>
        </w:rPr>
        <w:t>Друго (</w:t>
      </w:r>
      <w:r w:rsidRPr="007F6E21">
        <w:rPr>
          <w:i/>
          <w:iCs/>
          <w:sz w:val="28"/>
          <w:szCs w:val="28"/>
        </w:rPr>
        <w:t>посочете</w:t>
      </w:r>
      <w:r w:rsidRPr="007F6E21">
        <w:rPr>
          <w:sz w:val="28"/>
          <w:szCs w:val="28"/>
        </w:rPr>
        <w:t>)</w:t>
      </w:r>
    </w:p>
    <w:p w:rsidR="007F6E21" w:rsidRPr="007F6E21" w:rsidRDefault="007F6E21" w:rsidP="007F6E21">
      <w:pPr>
        <w:pStyle w:val="ListParagraph"/>
        <w:numPr>
          <w:ilvl w:val="0"/>
          <w:numId w:val="15"/>
        </w:numPr>
        <w:spacing w:line="240" w:lineRule="auto"/>
        <w:ind w:left="426" w:hanging="426"/>
        <w:rPr>
          <w:rFonts w:eastAsia="Times New Roman"/>
          <w:sz w:val="28"/>
          <w:szCs w:val="28"/>
        </w:rPr>
      </w:pPr>
      <w:r w:rsidRPr="007F6E21">
        <w:rPr>
          <w:sz w:val="28"/>
          <w:szCs w:val="28"/>
        </w:rPr>
        <w:t>Какви решения предвиждате, за да поддържате/разширявате услугите за ОГРДВ за деца на възраст под 3 години като част от възстановяването?</w:t>
      </w:r>
    </w:p>
    <w:p w:rsidR="007F6E21" w:rsidRPr="007F6E21" w:rsidRDefault="007F6E21" w:rsidP="007F6E21">
      <w:pPr>
        <w:pStyle w:val="ListParagraph"/>
        <w:ind w:left="426"/>
        <w:rPr>
          <w:rFonts w:eastAsia="Times New Roman"/>
          <w:sz w:val="28"/>
          <w:szCs w:val="28"/>
        </w:rPr>
      </w:pPr>
      <w:r w:rsidRPr="007F6E21">
        <w:rPr>
          <w:sz w:val="28"/>
          <w:szCs w:val="28"/>
        </w:rPr>
        <w:t>(</w:t>
      </w:r>
      <w:proofErr w:type="gramStart"/>
      <w:r w:rsidRPr="007F6E21">
        <w:rPr>
          <w:i/>
          <w:iCs/>
          <w:sz w:val="28"/>
          <w:szCs w:val="28"/>
        </w:rPr>
        <w:t>посочете</w:t>
      </w:r>
      <w:proofErr w:type="gramEnd"/>
      <w:r w:rsidRPr="007F6E21">
        <w:rPr>
          <w:sz w:val="28"/>
          <w:szCs w:val="28"/>
        </w:rPr>
        <w:t>)</w:t>
      </w:r>
    </w:p>
    <w:p w:rsidR="007F6E21" w:rsidRPr="007F6E21" w:rsidRDefault="007F6E21" w:rsidP="007F6E21">
      <w:pPr>
        <w:pStyle w:val="ListParagraph"/>
        <w:ind w:left="426"/>
        <w:rPr>
          <w:rFonts w:eastAsia="Times New Roman"/>
          <w:sz w:val="28"/>
          <w:szCs w:val="28"/>
        </w:rPr>
      </w:pPr>
    </w:p>
    <w:p w:rsidR="007F6E21" w:rsidRPr="007F6E21" w:rsidRDefault="007F6E21" w:rsidP="007F6E21">
      <w:pPr>
        <w:rPr>
          <w:rFonts w:eastAsia="Times New Roman"/>
          <w:b/>
          <w:bCs/>
          <w:sz w:val="28"/>
          <w:szCs w:val="28"/>
        </w:rPr>
      </w:pPr>
      <w:r w:rsidRPr="007F6E21">
        <w:rPr>
          <w:b/>
          <w:bCs/>
          <w:sz w:val="28"/>
          <w:szCs w:val="28"/>
        </w:rPr>
        <w:t>Иновативни практики</w:t>
      </w:r>
    </w:p>
    <w:p w:rsidR="007F6E21" w:rsidRPr="007F6E21" w:rsidRDefault="007F6E21" w:rsidP="007F6E21">
      <w:pPr>
        <w:rPr>
          <w:rFonts w:eastAsia="Times New Roman"/>
          <w:b/>
          <w:bCs/>
          <w:sz w:val="28"/>
          <w:szCs w:val="28"/>
        </w:rPr>
      </w:pPr>
    </w:p>
    <w:p w:rsidR="007F6E21" w:rsidRPr="007F6E21" w:rsidRDefault="007F6E21" w:rsidP="007F6E21">
      <w:pPr>
        <w:numPr>
          <w:ilvl w:val="0"/>
          <w:numId w:val="15"/>
        </w:numPr>
        <w:spacing w:line="240" w:lineRule="auto"/>
        <w:ind w:left="426" w:hanging="426"/>
        <w:rPr>
          <w:rFonts w:eastAsia="Times New Roman"/>
          <w:sz w:val="28"/>
          <w:szCs w:val="28"/>
        </w:rPr>
      </w:pPr>
      <w:r w:rsidRPr="007F6E21">
        <w:rPr>
          <w:sz w:val="28"/>
          <w:szCs w:val="28"/>
        </w:rPr>
        <w:t xml:space="preserve">Разработили ли сте специфични иновативни практики с цел: </w:t>
      </w:r>
    </w:p>
    <w:p w:rsidR="007F6E21" w:rsidRPr="007F6E21" w:rsidRDefault="007F6E21" w:rsidP="007F6E21">
      <w:pPr>
        <w:numPr>
          <w:ilvl w:val="0"/>
          <w:numId w:val="18"/>
        </w:numPr>
        <w:spacing w:line="240" w:lineRule="auto"/>
        <w:ind w:left="851" w:hanging="284"/>
        <w:rPr>
          <w:rFonts w:eastAsia="Times New Roman"/>
          <w:sz w:val="28"/>
          <w:szCs w:val="28"/>
        </w:rPr>
      </w:pPr>
      <w:proofErr w:type="gramStart"/>
      <w:r w:rsidRPr="007F6E21">
        <w:rPr>
          <w:sz w:val="28"/>
          <w:szCs w:val="28"/>
        </w:rPr>
        <w:t>Гарантиране, че децата с различен/по-нисък социално-икономически статус се възползват в пълна степен от ОГРДВ: участие на родителите в образователните модели на децата; участие на местната общност (НПО); обучение и права на работещите в сферата на ОГРДВ; приобщаващи педагогически програми/практики за способност да се възприема многообразието, сътрудничеството и солидарността; свързване на ОГРДВ с други социални услуги/закрила, насочени към семействата, като подпомагане на доходите, активни програми за пазара на труда, жилищно настаняване и др.</w:t>
      </w:r>
      <w:proofErr w:type="gramEnd"/>
    </w:p>
    <w:p w:rsidR="007F6E21" w:rsidRPr="007F6E21" w:rsidRDefault="007F6E21" w:rsidP="007F6E21">
      <w:pPr>
        <w:numPr>
          <w:ilvl w:val="0"/>
          <w:numId w:val="18"/>
        </w:numPr>
        <w:spacing w:line="240" w:lineRule="auto"/>
        <w:ind w:left="851" w:hanging="284"/>
        <w:rPr>
          <w:rFonts w:eastAsia="Times New Roman"/>
          <w:sz w:val="28"/>
          <w:szCs w:val="28"/>
        </w:rPr>
      </w:pPr>
      <w:r w:rsidRPr="007F6E21">
        <w:rPr>
          <w:sz w:val="28"/>
          <w:szCs w:val="28"/>
        </w:rPr>
        <w:t>Устойчивост: изграждане на екологосъобразна сграда; използване на рециклирани материали в обучението; биологични храни и храни от местни производители; екологично образование и др.</w:t>
      </w:r>
    </w:p>
    <w:p w:rsidR="007F6E21" w:rsidRPr="007F6E21" w:rsidRDefault="007F6E21" w:rsidP="007F6E21">
      <w:pPr>
        <w:numPr>
          <w:ilvl w:val="0"/>
          <w:numId w:val="18"/>
        </w:numPr>
        <w:spacing w:line="240" w:lineRule="auto"/>
        <w:ind w:left="851" w:hanging="284"/>
        <w:rPr>
          <w:rFonts w:eastAsia="Times New Roman"/>
          <w:sz w:val="28"/>
          <w:szCs w:val="28"/>
        </w:rPr>
      </w:pPr>
      <w:r w:rsidRPr="007F6E21">
        <w:rPr>
          <w:sz w:val="28"/>
          <w:szCs w:val="28"/>
        </w:rPr>
        <w:t xml:space="preserve">Цифровизация: използване на нови технологии за учене и развитие на децата, работа на учителите; обучение на персонала и служителите; използване на цифрови </w:t>
      </w:r>
      <w:r w:rsidRPr="007F6E21">
        <w:rPr>
          <w:sz w:val="28"/>
          <w:szCs w:val="28"/>
        </w:rPr>
        <w:lastRenderedPageBreak/>
        <w:t>инструменти за комуникация с родителите; цифровизиране на инфраструктурите и др.</w:t>
      </w:r>
    </w:p>
    <w:p w:rsidR="007F6E21" w:rsidRPr="007F6E21" w:rsidRDefault="007F6E21" w:rsidP="007F6E21">
      <w:pPr>
        <w:ind w:left="426"/>
        <w:rPr>
          <w:rFonts w:eastAsia="Times New Roman"/>
          <w:i/>
          <w:iCs/>
          <w:sz w:val="28"/>
          <w:szCs w:val="28"/>
        </w:rPr>
      </w:pPr>
      <w:r w:rsidRPr="007F6E21">
        <w:rPr>
          <w:i/>
          <w:iCs/>
          <w:sz w:val="28"/>
          <w:szCs w:val="28"/>
        </w:rPr>
        <w:t>(Опишете областите, в които са разработени практики)</w:t>
      </w:r>
    </w:p>
    <w:p w:rsidR="007F6E21" w:rsidRPr="007F6E21" w:rsidRDefault="007F6E21" w:rsidP="007F6E21">
      <w:pPr>
        <w:ind w:left="426"/>
        <w:rPr>
          <w:rFonts w:eastAsia="Times New Roman"/>
          <w:i/>
          <w:iCs/>
          <w:sz w:val="28"/>
          <w:szCs w:val="28"/>
        </w:rPr>
      </w:pPr>
    </w:p>
    <w:p w:rsidR="007F6E21" w:rsidRPr="007F6E21" w:rsidRDefault="007F6E21" w:rsidP="007F6E21">
      <w:pPr>
        <w:keepNext/>
        <w:rPr>
          <w:rFonts w:eastAsia="Times New Roman"/>
          <w:b/>
          <w:bCs/>
          <w:sz w:val="28"/>
          <w:szCs w:val="28"/>
        </w:rPr>
      </w:pPr>
      <w:r w:rsidRPr="007F6E21">
        <w:rPr>
          <w:b/>
          <w:bCs/>
          <w:sz w:val="28"/>
          <w:szCs w:val="28"/>
        </w:rPr>
        <w:t>Ролята на Европейския съюз</w:t>
      </w:r>
    </w:p>
    <w:p w:rsidR="007F6E21" w:rsidRPr="007F6E21" w:rsidRDefault="007F6E21" w:rsidP="007F6E21">
      <w:pPr>
        <w:keepNext/>
        <w:rPr>
          <w:rFonts w:eastAsia="Times New Roman"/>
          <w:b/>
          <w:bCs/>
          <w:sz w:val="28"/>
          <w:szCs w:val="28"/>
        </w:rPr>
      </w:pPr>
    </w:p>
    <w:p w:rsidR="007F6E21" w:rsidRPr="007F6E21" w:rsidRDefault="007F6E21" w:rsidP="007F6E21">
      <w:pPr>
        <w:keepNext/>
        <w:numPr>
          <w:ilvl w:val="0"/>
          <w:numId w:val="15"/>
        </w:numPr>
        <w:spacing w:line="240" w:lineRule="auto"/>
        <w:ind w:left="426" w:hanging="426"/>
        <w:rPr>
          <w:rFonts w:eastAsia="Times New Roman"/>
          <w:sz w:val="28"/>
          <w:szCs w:val="28"/>
        </w:rPr>
      </w:pPr>
      <w:r w:rsidRPr="007F6E21">
        <w:rPr>
          <w:sz w:val="28"/>
          <w:szCs w:val="28"/>
        </w:rPr>
        <w:t>Допринесъл/подкрепял ли е Европейският съюз Вашите усилия за осигуряване на равен достъп до ОГРДВ за децата на възраст под 3 години и/или разработил и приложил иновативни практики в областта на приобщаването, устойчивостта и цифровизацията?</w:t>
      </w:r>
    </w:p>
    <w:p w:rsidR="007F6E21" w:rsidRPr="007F6E21" w:rsidRDefault="007F6E21" w:rsidP="007F6E21">
      <w:pPr>
        <w:ind w:left="426"/>
        <w:rPr>
          <w:rFonts w:eastAsia="Times New Roman"/>
          <w:sz w:val="28"/>
          <w:szCs w:val="28"/>
        </w:rPr>
      </w:pPr>
      <w:r w:rsidRPr="007F6E21">
        <w:rPr>
          <w:sz w:val="28"/>
          <w:szCs w:val="28"/>
        </w:rPr>
        <w:t>(</w:t>
      </w:r>
      <w:proofErr w:type="gramStart"/>
      <w:r w:rsidRPr="007F6E21">
        <w:rPr>
          <w:sz w:val="28"/>
          <w:szCs w:val="28"/>
        </w:rPr>
        <w:t>посочете</w:t>
      </w:r>
      <w:proofErr w:type="gramEnd"/>
      <w:r w:rsidRPr="007F6E21">
        <w:rPr>
          <w:sz w:val="28"/>
          <w:szCs w:val="28"/>
        </w:rPr>
        <w:t>)</w:t>
      </w:r>
    </w:p>
    <w:p w:rsidR="007F6E21" w:rsidRPr="007F6E21" w:rsidRDefault="007F6E21" w:rsidP="007F6E21">
      <w:pPr>
        <w:numPr>
          <w:ilvl w:val="0"/>
          <w:numId w:val="15"/>
        </w:numPr>
        <w:spacing w:line="240" w:lineRule="auto"/>
        <w:ind w:left="426" w:hanging="426"/>
        <w:rPr>
          <w:rFonts w:eastAsia="Times New Roman"/>
          <w:sz w:val="28"/>
          <w:szCs w:val="28"/>
        </w:rPr>
      </w:pPr>
      <w:r w:rsidRPr="007F6E21">
        <w:rPr>
          <w:sz w:val="28"/>
          <w:szCs w:val="28"/>
        </w:rPr>
        <w:t>Как Европейският съюз би могъл да допринесе в бъдеще за усилията Ви за равен достъп до ОГРДВ за деца под 3 години и за иновации за приобщаване, устойчивост и цифровизация (</w:t>
      </w:r>
      <w:r w:rsidRPr="007F6E21">
        <w:rPr>
          <w:i/>
          <w:iCs/>
          <w:sz w:val="28"/>
          <w:szCs w:val="28"/>
        </w:rPr>
        <w:t>повече от един отговор</w:t>
      </w:r>
      <w:r w:rsidRPr="007F6E21">
        <w:rPr>
          <w:sz w:val="28"/>
          <w:szCs w:val="28"/>
        </w:rPr>
        <w:t>)?</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Посвещаване на европейски средства за подкрепа на местните власти за осигуряване на равен достъп до качествени, приобщаващи и устойчиви ОГРДВ</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Предоставяне на насоки/техническа помощ за разработването на практики</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Изискване към централните правителства да планират съвместно с местните органи действия, които да бъдат финансирани, или реформи, които да се предприемат, като се използват европейските финансови инструменти (напр. Next Generation EU, гаранция за децата и др.), за да се разширят равнопоставените, приобщаващи и устойчиви услуги в областта на ОГРДВ</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Преглед на европейския семестър, за да се гарантира отчитането на специфичните предизвикателства, пред които са изправени местните и регионалните власти (</w:t>
      </w:r>
      <w:r w:rsidRPr="007F6E21">
        <w:rPr>
          <w:i/>
          <w:iCs/>
          <w:sz w:val="28"/>
          <w:szCs w:val="28"/>
        </w:rPr>
        <w:t>напр. преразглеждане на показателите за интегриране на повече дезагрегирани данни на местно равнище, преки консултации с местните органи и др.</w:t>
      </w:r>
      <w:r w:rsidRPr="007F6E21">
        <w:rPr>
          <w:sz w:val="28"/>
          <w:szCs w:val="28"/>
        </w:rPr>
        <w:t>)</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Организиране на възможности за обмен с други градове/региони/държави/академични институции</w:t>
      </w:r>
    </w:p>
    <w:p w:rsidR="007F6E21" w:rsidRPr="007F6E21" w:rsidRDefault="007F6E21" w:rsidP="007F6E21">
      <w:pPr>
        <w:numPr>
          <w:ilvl w:val="0"/>
          <w:numId w:val="19"/>
        </w:numPr>
        <w:spacing w:line="240" w:lineRule="auto"/>
        <w:ind w:left="993" w:hanging="426"/>
        <w:rPr>
          <w:rFonts w:eastAsia="Times New Roman"/>
          <w:sz w:val="28"/>
          <w:szCs w:val="28"/>
        </w:rPr>
      </w:pPr>
      <w:r w:rsidRPr="007F6E21">
        <w:rPr>
          <w:sz w:val="28"/>
          <w:szCs w:val="28"/>
        </w:rPr>
        <w:t>Друго (</w:t>
      </w:r>
      <w:r w:rsidRPr="007F6E21">
        <w:rPr>
          <w:i/>
          <w:iCs/>
          <w:sz w:val="28"/>
          <w:szCs w:val="28"/>
        </w:rPr>
        <w:t>посочете</w:t>
      </w:r>
      <w:r w:rsidRPr="007F6E21">
        <w:rPr>
          <w:sz w:val="28"/>
          <w:szCs w:val="28"/>
        </w:rPr>
        <w:t>)</w:t>
      </w:r>
    </w:p>
    <w:p w:rsidR="0062605C" w:rsidRPr="007F6E21" w:rsidRDefault="0062605C" w:rsidP="0062605C">
      <w:pPr>
        <w:rPr>
          <w:rFonts w:eastAsia="Times New Roman"/>
          <w:sz w:val="28"/>
          <w:szCs w:val="28"/>
        </w:rPr>
      </w:pPr>
    </w:p>
    <w:sectPr w:rsidR="0062605C" w:rsidRPr="007F6E21">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DE4613">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62605C"/>
    <w:rsid w:val="007F6E21"/>
    <w:rsid w:val="008126D3"/>
    <w:rsid w:val="00975479"/>
    <w:rsid w:val="00DE4613"/>
    <w:rsid w:val="00E1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14B5"/>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2021-03-29T14:54:00Z</dcterms:modified>
</cp:coreProperties>
</file>